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28D3">
      <w:pPr>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r>
        <w:rPr>
          <w:rFonts w:hint="eastAsia" w:ascii="黑体" w:hAnsi="黑体" w:eastAsia="黑体"/>
          <w:sz w:val="32"/>
          <w:szCs w:val="32"/>
          <w:lang w:val="en-US" w:eastAsia="zh-CN"/>
        </w:rPr>
        <w:t xml:space="preserve"> </w:t>
      </w:r>
      <w:r>
        <w:rPr>
          <w:rFonts w:ascii="黑体" w:hAnsi="黑体" w:eastAsia="黑体"/>
          <w:sz w:val="32"/>
          <w:szCs w:val="32"/>
        </w:rPr>
        <w:t>无锡市律师协会律师服务费标准示范文本</w:t>
      </w:r>
    </w:p>
    <w:p w14:paraId="3217CD2C">
      <w:pPr>
        <w:pStyle w:val="2"/>
        <w:jc w:val="center"/>
        <w:rPr>
          <w:sz w:val="40"/>
          <w:szCs w:val="22"/>
        </w:rPr>
      </w:pPr>
      <w:r>
        <w:rPr>
          <w:rFonts w:hint="eastAsia" w:ascii="宋体" w:hAnsi="宋体" w:cs="宋体"/>
          <w:sz w:val="40"/>
          <w:szCs w:val="22"/>
        </w:rPr>
        <w:t>XXX律师事务所律师服务费标准</w:t>
      </w:r>
    </w:p>
    <w:p w14:paraId="5454AB64">
      <w:pPr>
        <w:spacing w:line="460" w:lineRule="exact"/>
        <w:ind w:firstLine="420" w:firstLineChars="200"/>
        <w:rPr>
          <w:rFonts w:ascii="仿宋" w:hAnsi="仿宋" w:eastAsia="仿宋" w:cs="仿宋"/>
        </w:rPr>
      </w:pPr>
      <w:bookmarkStart w:id="0" w:name="bookmark5"/>
      <w:bookmarkStart w:id="1" w:name="bookmark4"/>
      <w:bookmarkStart w:id="2" w:name="bookmark3"/>
      <w:r>
        <w:rPr>
          <w:rFonts w:hint="eastAsia" w:ascii="仿宋" w:hAnsi="仿宋" w:eastAsia="仿宋" w:cs="仿宋"/>
          <w:lang w:eastAsia="zh-Hans"/>
        </w:rPr>
        <w:t>根据</w:t>
      </w:r>
      <w:r>
        <w:rPr>
          <w:rFonts w:hint="eastAsia" w:ascii="仿宋" w:hAnsi="仿宋" w:eastAsia="仿宋" w:cs="仿宋"/>
        </w:rPr>
        <w:t>《司法部 国家发展和改革委员会 国家市场监督管理总局印发&lt;关于进一步规范律师服务收费的意见&gt;的通知》（司发通〔2021〕87号）等有关规定，特制定本所律师服务收费标准。</w:t>
      </w:r>
      <w:bookmarkEnd w:id="0"/>
      <w:bookmarkEnd w:id="1"/>
      <w:bookmarkEnd w:id="2"/>
      <w:bookmarkStart w:id="3" w:name="bookmark6"/>
      <w:bookmarkStart w:id="4" w:name="bookmark7"/>
      <w:bookmarkStart w:id="5" w:name="bookmark8"/>
    </w:p>
    <w:p w14:paraId="77A7499A">
      <w:pPr>
        <w:spacing w:line="460" w:lineRule="exact"/>
        <w:rPr>
          <w:rFonts w:ascii="黑体" w:hAnsi="黑体" w:eastAsia="黑体" w:cs="黑体"/>
        </w:rPr>
      </w:pPr>
      <w:r>
        <w:rPr>
          <w:rFonts w:hint="eastAsia" w:ascii="黑体" w:hAnsi="黑体" w:eastAsia="黑体" w:cs="黑体"/>
        </w:rPr>
        <w:t>一、刑事案件代理</w:t>
      </w:r>
      <w:bookmarkEnd w:id="3"/>
      <w:bookmarkEnd w:id="4"/>
      <w:bookmarkEnd w:id="5"/>
    </w:p>
    <w:tbl>
      <w:tblPr>
        <w:tblStyle w:val="4"/>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1"/>
        <w:gridCol w:w="1497"/>
        <w:gridCol w:w="4542"/>
      </w:tblGrid>
      <w:tr w14:paraId="658FAB51">
        <w:trPr>
          <w:tblHeader/>
          <w:jc w:val="center"/>
        </w:trPr>
        <w:tc>
          <w:tcPr>
            <w:tcW w:w="1696" w:type="dxa"/>
            <w:noWrap w:val="0"/>
            <w:vAlign w:val="bottom"/>
          </w:tcPr>
          <w:p w14:paraId="35039B16">
            <w:pPr>
              <w:pStyle w:val="6"/>
              <w:adjustRightInd w:val="0"/>
              <w:snapToGrid w:val="0"/>
              <w:spacing w:line="30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（一）简单案件</w:t>
            </w:r>
          </w:p>
        </w:tc>
        <w:tc>
          <w:tcPr>
            <w:tcW w:w="1411" w:type="dxa"/>
            <w:noWrap w:val="0"/>
            <w:vAlign w:val="bottom"/>
          </w:tcPr>
          <w:p w14:paraId="64660B70">
            <w:pPr>
              <w:pStyle w:val="6"/>
              <w:adjustRightInd w:val="0"/>
              <w:snapToGrid w:val="0"/>
              <w:spacing w:line="300" w:lineRule="exact"/>
              <w:ind w:firstLine="240"/>
              <w:rPr>
                <w:rFonts w:ascii="Times New Roman" w:hAnsi="Times New Roman" w:eastAsia="仿宋" w:cs="Times New Roman"/>
                <w:sz w:val="21"/>
                <w:szCs w:val="21"/>
              </w:rPr>
            </w:pPr>
            <w:r>
              <w:rPr>
                <w:rFonts w:hint="eastAsia" w:ascii="Times New Roman" w:hAnsi="Times New Roman" w:eastAsia="仿宋" w:cs="Times New Roman"/>
                <w:sz w:val="21"/>
                <w:szCs w:val="21"/>
              </w:rPr>
              <w:t>计件收费</w:t>
            </w:r>
          </w:p>
        </w:tc>
        <w:tc>
          <w:tcPr>
            <w:tcW w:w="1497" w:type="dxa"/>
            <w:noWrap w:val="0"/>
            <w:vAlign w:val="bottom"/>
          </w:tcPr>
          <w:p w14:paraId="44749801">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计时收费</w:t>
            </w:r>
          </w:p>
        </w:tc>
        <w:tc>
          <w:tcPr>
            <w:tcW w:w="4542" w:type="dxa"/>
            <w:noWrap w:val="0"/>
            <w:vAlign w:val="bottom"/>
          </w:tcPr>
          <w:p w14:paraId="7A3BDE60">
            <w:pPr>
              <w:pStyle w:val="6"/>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收费说明</w:t>
            </w:r>
          </w:p>
        </w:tc>
      </w:tr>
      <w:tr w14:paraId="29704806">
        <w:trPr>
          <w:jc w:val="center"/>
        </w:trPr>
        <w:tc>
          <w:tcPr>
            <w:tcW w:w="1696" w:type="dxa"/>
            <w:noWrap w:val="0"/>
            <w:vAlign w:val="center"/>
          </w:tcPr>
          <w:p w14:paraId="28FF13E0">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侦查阶段</w:t>
            </w:r>
          </w:p>
        </w:tc>
        <w:tc>
          <w:tcPr>
            <w:tcW w:w="1411" w:type="dxa"/>
            <w:noWrap w:val="0"/>
            <w:vAlign w:val="center"/>
          </w:tcPr>
          <w:p w14:paraId="64E40FD5">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bidi="en-US"/>
              </w:rPr>
              <w:t>XX</w:t>
            </w:r>
            <w:r>
              <w:rPr>
                <w:rFonts w:ascii="Times New Roman" w:hAnsi="Times New Roman" w:eastAsia="仿宋" w:cs="Times New Roman"/>
                <w:b/>
                <w:bCs/>
                <w:sz w:val="21"/>
                <w:szCs w:val="21"/>
                <w:lang w:val="en-US" w:eastAsia="en-US" w:bidi="en-US"/>
              </w:rPr>
              <w:t xml:space="preserve">XX </w:t>
            </w:r>
            <w:r>
              <w:rPr>
                <w:rFonts w:hint="eastAsia" w:ascii="Times New Roman" w:hAnsi="Times New Roman" w:eastAsia="仿宋" w:cs="Times New Roman"/>
                <w:b/>
                <w:bCs/>
                <w:sz w:val="21"/>
                <w:szCs w:val="21"/>
              </w:rPr>
              <w:t>元</w:t>
            </w:r>
            <w:r>
              <w:rPr>
                <w:rFonts w:hint="eastAsia" w:ascii="Times New Roman" w:hAnsi="Times New Roman" w:eastAsia="仿宋" w:cs="Times New Roman"/>
                <w:b/>
                <w:bCs/>
                <w:sz w:val="21"/>
                <w:szCs w:val="21"/>
                <w:lang w:val="en-US" w:eastAsia="zh-CN"/>
              </w:rPr>
              <w:t>起</w:t>
            </w:r>
          </w:p>
        </w:tc>
        <w:tc>
          <w:tcPr>
            <w:tcW w:w="1497" w:type="dxa"/>
            <w:vMerge w:val="restart"/>
            <w:noWrap w:val="0"/>
            <w:vAlign w:val="center"/>
          </w:tcPr>
          <w:p w14:paraId="7C11218C">
            <w:pPr>
              <w:adjustRightInd w:val="0"/>
              <w:snapToGrid w:val="0"/>
              <w:spacing w:line="300" w:lineRule="exact"/>
              <w:jc w:val="center"/>
              <w:rPr>
                <w:rFonts w:hint="default" w:eastAsia="仿宋"/>
                <w:lang w:val="en-US" w:eastAsia="zh-CN"/>
              </w:rPr>
            </w:pPr>
            <w:r>
              <w:rPr>
                <w:rFonts w:hint="eastAsia" w:eastAsia="仿宋"/>
                <w:b/>
                <w:bCs/>
                <w:lang w:val="en-US" w:eastAsia="zh-CN"/>
              </w:rPr>
              <w:t>详见本标准第五条第四项</w:t>
            </w:r>
          </w:p>
        </w:tc>
        <w:tc>
          <w:tcPr>
            <w:tcW w:w="4542" w:type="dxa"/>
            <w:vMerge w:val="restart"/>
            <w:noWrap w:val="0"/>
            <w:vAlign w:val="top"/>
          </w:tcPr>
          <w:p w14:paraId="61A99D94">
            <w:pPr>
              <w:adjustRightInd w:val="0"/>
              <w:snapToGrid w:val="0"/>
              <w:spacing w:line="300" w:lineRule="exact"/>
              <w:rPr>
                <w:rFonts w:eastAsia="仿宋"/>
              </w:rPr>
            </w:pPr>
            <w:r>
              <w:rPr>
                <w:rFonts w:hint="eastAsia" w:eastAsia="仿宋"/>
              </w:rPr>
              <w:t>（</w:t>
            </w:r>
            <w:r>
              <w:rPr>
                <w:rFonts w:eastAsia="仿宋"/>
              </w:rPr>
              <w:t>1</w:t>
            </w:r>
            <w:r>
              <w:rPr>
                <w:rFonts w:hint="eastAsia" w:eastAsia="仿宋"/>
              </w:rPr>
              <w:t>）担任刑事案件辩护人、代理人，按照一审收费标准收费。</w:t>
            </w:r>
          </w:p>
          <w:p w14:paraId="2FD07B16">
            <w:pPr>
              <w:adjustRightInd w:val="0"/>
              <w:snapToGrid w:val="0"/>
              <w:spacing w:line="300" w:lineRule="exact"/>
              <w:rPr>
                <w:rFonts w:eastAsia="仿宋"/>
              </w:rPr>
            </w:pPr>
            <w:r>
              <w:rPr>
                <w:rFonts w:hint="eastAsia" w:eastAsia="仿宋"/>
              </w:rPr>
              <w:t>（</w:t>
            </w:r>
            <w:r>
              <w:rPr>
                <w:rFonts w:eastAsia="仿宋"/>
              </w:rPr>
              <w:t>2</w:t>
            </w:r>
            <w:r>
              <w:rPr>
                <w:rFonts w:hint="eastAsia" w:eastAsia="仿宋"/>
              </w:rPr>
              <w:t>）担任刑事案件被害人代理人，可按照标准酌减收费。</w:t>
            </w:r>
          </w:p>
          <w:p w14:paraId="3AA04277">
            <w:pPr>
              <w:adjustRightInd w:val="0"/>
              <w:snapToGrid w:val="0"/>
              <w:spacing w:line="300" w:lineRule="exact"/>
              <w:rPr>
                <w:rFonts w:eastAsia="仿宋"/>
              </w:rPr>
            </w:pPr>
            <w:r>
              <w:rPr>
                <w:rFonts w:hint="eastAsia" w:eastAsia="仿宋"/>
              </w:rPr>
              <w:t>（</w:t>
            </w:r>
            <w:r>
              <w:rPr>
                <w:rFonts w:eastAsia="仿宋"/>
              </w:rPr>
              <w:t>3</w:t>
            </w:r>
            <w:r>
              <w:rPr>
                <w:rFonts w:hint="eastAsia" w:eastAsia="仿宋"/>
              </w:rPr>
              <w:t>）单独代理刑事案件二审、死刑复核</w:t>
            </w:r>
            <w:r>
              <w:rPr>
                <w:rFonts w:eastAsia="仿宋"/>
              </w:rPr>
              <w:t>、</w:t>
            </w:r>
            <w:r>
              <w:rPr>
                <w:rFonts w:hint="eastAsia" w:eastAsia="仿宋"/>
              </w:rPr>
              <w:t>审判监督、特别程序</w:t>
            </w:r>
            <w:r>
              <w:rPr>
                <w:rFonts w:eastAsia="仿宋"/>
              </w:rPr>
              <w:t>，</w:t>
            </w:r>
            <w:r>
              <w:rPr>
                <w:rFonts w:hint="eastAsia" w:eastAsia="仿宋"/>
              </w:rPr>
              <w:t>按照一审收费标准收费。曾代理前一阶段的，在分别计算基础上，后一阶段起一般情况下可以给予优惠，特殊情况可以另行协商。</w:t>
            </w:r>
          </w:p>
          <w:p w14:paraId="409D9DF9">
            <w:pPr>
              <w:adjustRightInd w:val="0"/>
              <w:snapToGrid w:val="0"/>
              <w:spacing w:line="300" w:lineRule="exact"/>
              <w:rPr>
                <w:rFonts w:eastAsia="仿宋"/>
              </w:rPr>
            </w:pPr>
            <w:r>
              <w:rPr>
                <w:rFonts w:hint="eastAsia" w:eastAsia="仿宋"/>
              </w:rPr>
              <w:t>（</w:t>
            </w:r>
            <w:r>
              <w:rPr>
                <w:rFonts w:eastAsia="仿宋"/>
              </w:rPr>
              <w:t>4</w:t>
            </w:r>
            <w:r>
              <w:rPr>
                <w:rFonts w:hint="eastAsia" w:eastAsia="仿宋"/>
              </w:rPr>
              <w:t>）犯罪嫌疑人、被告人同时涉及数个罪名或数起犯罪事实</w:t>
            </w:r>
            <w:r>
              <w:rPr>
                <w:rFonts w:eastAsia="仿宋"/>
              </w:rPr>
              <w:t>，</w:t>
            </w:r>
            <w:r>
              <w:rPr>
                <w:rFonts w:hint="eastAsia" w:eastAsia="仿宋"/>
              </w:rPr>
              <w:t>可分别计件收费。</w:t>
            </w:r>
          </w:p>
          <w:p w14:paraId="4CD710E9">
            <w:pPr>
              <w:adjustRightInd w:val="0"/>
              <w:snapToGrid w:val="0"/>
              <w:spacing w:line="300" w:lineRule="exact"/>
              <w:rPr>
                <w:rFonts w:eastAsia="仿宋"/>
              </w:rPr>
            </w:pPr>
            <w:r>
              <w:rPr>
                <w:rFonts w:hint="eastAsia" w:eastAsia="仿宋"/>
              </w:rPr>
              <w:t>（</w:t>
            </w:r>
            <w:r>
              <w:rPr>
                <w:rFonts w:eastAsia="仿宋"/>
              </w:rPr>
              <w:t>5</w:t>
            </w:r>
            <w:r>
              <w:rPr>
                <w:rFonts w:hint="eastAsia" w:eastAsia="仿宋"/>
              </w:rPr>
              <w:t>）刑事附带民事诉讼案件的民事部分</w:t>
            </w:r>
            <w:r>
              <w:rPr>
                <w:rFonts w:eastAsia="仿宋"/>
              </w:rPr>
              <w:t>，</w:t>
            </w:r>
            <w:r>
              <w:rPr>
                <w:rFonts w:hint="eastAsia" w:eastAsia="仿宋"/>
              </w:rPr>
              <w:t>可以参照民事诉讼案件</w:t>
            </w:r>
            <w:r>
              <w:rPr>
                <w:rFonts w:hint="eastAsia" w:eastAsia="仿宋"/>
                <w:lang w:eastAsia="zh-Hans"/>
              </w:rPr>
              <w:t>律师服务收费</w:t>
            </w:r>
            <w:r>
              <w:rPr>
                <w:rFonts w:hint="eastAsia" w:eastAsia="仿宋"/>
              </w:rPr>
              <w:t>标准</w:t>
            </w:r>
            <w:r>
              <w:rPr>
                <w:rFonts w:eastAsia="仿宋"/>
              </w:rPr>
              <w:t>，</w:t>
            </w:r>
            <w:r>
              <w:rPr>
                <w:rFonts w:hint="eastAsia" w:eastAsia="仿宋"/>
              </w:rPr>
              <w:t>由律师事务所和委托人协商确定。</w:t>
            </w:r>
          </w:p>
          <w:p w14:paraId="7AB12F5A">
            <w:pPr>
              <w:adjustRightInd w:val="0"/>
              <w:snapToGrid w:val="0"/>
              <w:spacing w:line="300" w:lineRule="exact"/>
              <w:rPr>
                <w:rFonts w:eastAsia="仿宋"/>
              </w:rPr>
            </w:pPr>
            <w:r>
              <w:rPr>
                <w:rFonts w:hint="eastAsia" w:eastAsia="仿宋"/>
              </w:rPr>
              <w:t>（</w:t>
            </w:r>
            <w:r>
              <w:rPr>
                <w:rFonts w:eastAsia="仿宋"/>
              </w:rPr>
              <w:t>6</w:t>
            </w:r>
            <w:r>
              <w:rPr>
                <w:rFonts w:hint="eastAsia" w:eastAsia="仿宋"/>
              </w:rPr>
              <w:t>）减刑、假释</w:t>
            </w:r>
            <w:r>
              <w:rPr>
                <w:rFonts w:eastAsia="仿宋"/>
              </w:rPr>
              <w:t>、</w:t>
            </w:r>
            <w:r>
              <w:rPr>
                <w:rFonts w:hint="eastAsia" w:eastAsia="仿宋"/>
              </w:rPr>
              <w:t>保外就医、社区矫正、罚金刑的执行、财产没收等其他刑事法律服务可参照一审收费</w:t>
            </w:r>
            <w:r>
              <w:rPr>
                <w:rFonts w:hint="eastAsia" w:eastAsia="仿宋"/>
                <w:lang w:eastAsia="zh-Hans"/>
              </w:rPr>
              <w:t>标准</w:t>
            </w:r>
            <w:r>
              <w:rPr>
                <w:rFonts w:hint="eastAsia" w:eastAsia="仿宋"/>
              </w:rPr>
              <w:t>收费。</w:t>
            </w:r>
          </w:p>
        </w:tc>
      </w:tr>
      <w:tr w14:paraId="77194A46">
        <w:trPr>
          <w:jc w:val="center"/>
        </w:trPr>
        <w:tc>
          <w:tcPr>
            <w:tcW w:w="1696" w:type="dxa"/>
            <w:noWrap w:val="0"/>
            <w:vAlign w:val="center"/>
          </w:tcPr>
          <w:p w14:paraId="2D409016">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审查起诉</w:t>
            </w:r>
          </w:p>
        </w:tc>
        <w:tc>
          <w:tcPr>
            <w:tcW w:w="1411" w:type="dxa"/>
            <w:noWrap w:val="0"/>
            <w:vAlign w:val="center"/>
          </w:tcPr>
          <w:p w14:paraId="172DC746">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bidi="en-US"/>
              </w:rPr>
              <w:t>XX</w:t>
            </w:r>
            <w:r>
              <w:rPr>
                <w:rFonts w:ascii="Times New Roman" w:hAnsi="Times New Roman" w:eastAsia="仿宋" w:cs="Times New Roman"/>
                <w:b/>
                <w:bCs/>
                <w:sz w:val="21"/>
                <w:szCs w:val="21"/>
                <w:lang w:val="en-US" w:eastAsia="en-US" w:bidi="en-US"/>
              </w:rPr>
              <w:t xml:space="preserve">XX </w:t>
            </w:r>
            <w:r>
              <w:rPr>
                <w:rFonts w:hint="eastAsia" w:ascii="Times New Roman" w:hAnsi="Times New Roman" w:eastAsia="仿宋" w:cs="Times New Roman"/>
                <w:b/>
                <w:bCs/>
                <w:sz w:val="21"/>
                <w:szCs w:val="21"/>
              </w:rPr>
              <w:t>元</w:t>
            </w:r>
            <w:r>
              <w:rPr>
                <w:rFonts w:hint="eastAsia" w:ascii="Times New Roman" w:hAnsi="Times New Roman" w:eastAsia="仿宋" w:cs="Times New Roman"/>
                <w:b/>
                <w:bCs/>
                <w:sz w:val="21"/>
                <w:szCs w:val="21"/>
                <w:lang w:val="en-US" w:eastAsia="zh-CN"/>
              </w:rPr>
              <w:t>起</w:t>
            </w:r>
          </w:p>
        </w:tc>
        <w:tc>
          <w:tcPr>
            <w:tcW w:w="1497" w:type="dxa"/>
            <w:vMerge w:val="continue"/>
            <w:noWrap w:val="0"/>
            <w:vAlign w:val="top"/>
          </w:tcPr>
          <w:p w14:paraId="040F6C3D">
            <w:pPr>
              <w:adjustRightInd w:val="0"/>
              <w:snapToGrid w:val="0"/>
              <w:spacing w:line="300" w:lineRule="exact"/>
              <w:rPr>
                <w:rFonts w:eastAsia="仿宋"/>
              </w:rPr>
            </w:pPr>
          </w:p>
        </w:tc>
        <w:tc>
          <w:tcPr>
            <w:tcW w:w="4542" w:type="dxa"/>
            <w:vMerge w:val="continue"/>
            <w:noWrap w:val="0"/>
            <w:vAlign w:val="top"/>
          </w:tcPr>
          <w:p w14:paraId="441314A1">
            <w:pPr>
              <w:spacing w:line="300" w:lineRule="exact"/>
              <w:rPr>
                <w:rFonts w:eastAsia="仿宋"/>
              </w:rPr>
            </w:pPr>
          </w:p>
        </w:tc>
      </w:tr>
      <w:tr w14:paraId="6171B552">
        <w:trPr>
          <w:jc w:val="center"/>
        </w:trPr>
        <w:tc>
          <w:tcPr>
            <w:tcW w:w="1696" w:type="dxa"/>
            <w:noWrap w:val="0"/>
            <w:vAlign w:val="center"/>
          </w:tcPr>
          <w:p w14:paraId="13EDE90B">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一审阶段</w:t>
            </w:r>
          </w:p>
        </w:tc>
        <w:tc>
          <w:tcPr>
            <w:tcW w:w="1411" w:type="dxa"/>
            <w:noWrap w:val="0"/>
            <w:vAlign w:val="center"/>
          </w:tcPr>
          <w:p w14:paraId="11C89F11">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bidi="en-US"/>
              </w:rPr>
              <w:t>XX</w:t>
            </w:r>
            <w:r>
              <w:rPr>
                <w:rFonts w:ascii="Times New Roman" w:hAnsi="Times New Roman" w:eastAsia="仿宋" w:cs="Times New Roman"/>
                <w:b/>
                <w:bCs/>
                <w:sz w:val="21"/>
                <w:szCs w:val="21"/>
                <w:lang w:val="en-US" w:eastAsia="en-US" w:bidi="en-US"/>
              </w:rPr>
              <w:t xml:space="preserve">XX </w:t>
            </w:r>
            <w:r>
              <w:rPr>
                <w:rFonts w:hint="eastAsia" w:ascii="Times New Roman" w:hAnsi="Times New Roman" w:eastAsia="仿宋" w:cs="Times New Roman"/>
                <w:b/>
                <w:bCs/>
                <w:sz w:val="21"/>
                <w:szCs w:val="21"/>
              </w:rPr>
              <w:t>元</w:t>
            </w:r>
            <w:r>
              <w:rPr>
                <w:rFonts w:hint="eastAsia" w:ascii="Times New Roman" w:hAnsi="Times New Roman" w:eastAsia="仿宋" w:cs="Times New Roman"/>
                <w:b/>
                <w:bCs/>
                <w:sz w:val="21"/>
                <w:szCs w:val="21"/>
                <w:lang w:val="en-US" w:eastAsia="zh-CN"/>
              </w:rPr>
              <w:t>起</w:t>
            </w:r>
          </w:p>
        </w:tc>
        <w:tc>
          <w:tcPr>
            <w:tcW w:w="1497" w:type="dxa"/>
            <w:vMerge w:val="continue"/>
            <w:noWrap w:val="0"/>
            <w:vAlign w:val="top"/>
          </w:tcPr>
          <w:p w14:paraId="184C5426">
            <w:pPr>
              <w:adjustRightInd w:val="0"/>
              <w:snapToGrid w:val="0"/>
              <w:spacing w:line="300" w:lineRule="exact"/>
              <w:rPr>
                <w:rFonts w:eastAsia="仿宋"/>
              </w:rPr>
            </w:pPr>
          </w:p>
        </w:tc>
        <w:tc>
          <w:tcPr>
            <w:tcW w:w="4542" w:type="dxa"/>
            <w:vMerge w:val="continue"/>
            <w:noWrap w:val="0"/>
            <w:vAlign w:val="top"/>
          </w:tcPr>
          <w:p w14:paraId="662BDB29">
            <w:pPr>
              <w:spacing w:line="300" w:lineRule="exact"/>
              <w:rPr>
                <w:rFonts w:eastAsia="仿宋"/>
              </w:rPr>
            </w:pPr>
          </w:p>
        </w:tc>
      </w:tr>
      <w:tr w14:paraId="668C4BA6">
        <w:trPr>
          <w:jc w:val="center"/>
        </w:trPr>
        <w:tc>
          <w:tcPr>
            <w:tcW w:w="4604" w:type="dxa"/>
            <w:gridSpan w:val="3"/>
            <w:noWrap w:val="0"/>
            <w:vAlign w:val="center"/>
          </w:tcPr>
          <w:p w14:paraId="31FF013E">
            <w:pPr>
              <w:adjustRightInd w:val="0"/>
              <w:snapToGrid w:val="0"/>
              <w:spacing w:line="300" w:lineRule="exact"/>
              <w:rPr>
                <w:rFonts w:eastAsia="仿宋"/>
              </w:rPr>
            </w:pPr>
            <w:r>
              <w:rPr>
                <w:rFonts w:hint="eastAsia" w:eastAsia="仿宋"/>
              </w:rPr>
              <w:t>（二）重大、疑难、复杂案件可以高于简单案件收费标准。</w:t>
            </w:r>
          </w:p>
        </w:tc>
        <w:tc>
          <w:tcPr>
            <w:tcW w:w="4542" w:type="dxa"/>
            <w:vMerge w:val="continue"/>
            <w:noWrap w:val="0"/>
            <w:vAlign w:val="top"/>
          </w:tcPr>
          <w:p w14:paraId="22E41A6D">
            <w:pPr>
              <w:spacing w:line="300" w:lineRule="exact"/>
              <w:rPr>
                <w:rFonts w:eastAsia="仿宋"/>
              </w:rPr>
            </w:pPr>
          </w:p>
        </w:tc>
      </w:tr>
    </w:tbl>
    <w:p w14:paraId="3BA87CFE">
      <w:pPr>
        <w:spacing w:line="300" w:lineRule="exact"/>
        <w:rPr>
          <w:rFonts w:eastAsia="仿宋"/>
          <w:b/>
          <w:bCs/>
          <w:lang w:eastAsia="zh-Hans"/>
        </w:rPr>
      </w:pPr>
      <w:bookmarkStart w:id="6" w:name="bookmark9"/>
    </w:p>
    <w:p w14:paraId="5A46A48E">
      <w:pPr>
        <w:rPr>
          <w:rFonts w:ascii="黑体" w:hAnsi="黑体" w:eastAsia="黑体" w:cs="黑体"/>
        </w:rPr>
      </w:pPr>
      <w:r>
        <w:rPr>
          <w:rFonts w:hint="eastAsia" w:ascii="黑体" w:hAnsi="黑体" w:eastAsia="黑体" w:cs="黑体"/>
          <w:lang w:eastAsia="zh-Hans"/>
        </w:rPr>
        <w:t>二、</w:t>
      </w:r>
      <w:r>
        <w:rPr>
          <w:rFonts w:hint="eastAsia" w:ascii="黑体" w:hAnsi="黑体" w:eastAsia="黑体" w:cs="黑体"/>
        </w:rPr>
        <w:t>民事、仲裁、行政案件代理、非诉讼法律服务</w:t>
      </w:r>
      <w:bookmarkEnd w:id="6"/>
    </w:p>
    <w:tbl>
      <w:tblPr>
        <w:tblStyle w:val="4"/>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15"/>
        <w:gridCol w:w="974"/>
        <w:gridCol w:w="760"/>
        <w:gridCol w:w="820"/>
        <w:gridCol w:w="1033"/>
        <w:gridCol w:w="3532"/>
      </w:tblGrid>
      <w:tr w14:paraId="62529C04">
        <w:trPr>
          <w:jc w:val="center"/>
        </w:trPr>
        <w:tc>
          <w:tcPr>
            <w:tcW w:w="730" w:type="pct"/>
            <w:noWrap w:val="0"/>
            <w:vAlign w:val="center"/>
          </w:tcPr>
          <w:p w14:paraId="77841974">
            <w:pPr>
              <w:pStyle w:val="6"/>
              <w:adjustRightInd w:val="0"/>
              <w:snapToGrid w:val="0"/>
              <w:spacing w:line="30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（一）</w:t>
            </w:r>
          </w:p>
          <w:p w14:paraId="3F590A1F">
            <w:pPr>
              <w:pStyle w:val="6"/>
              <w:adjustRightInd w:val="0"/>
              <w:snapToGrid w:val="0"/>
              <w:spacing w:line="30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简单案件</w:t>
            </w:r>
          </w:p>
        </w:tc>
        <w:tc>
          <w:tcPr>
            <w:tcW w:w="920" w:type="pct"/>
            <w:gridSpan w:val="2"/>
            <w:noWrap w:val="0"/>
            <w:vAlign w:val="center"/>
          </w:tcPr>
          <w:p w14:paraId="6EF86054">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按标的额比例</w:t>
            </w:r>
          </w:p>
          <w:p w14:paraId="0F06D020">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收费</w:t>
            </w:r>
          </w:p>
        </w:tc>
        <w:tc>
          <w:tcPr>
            <w:tcW w:w="414" w:type="pct"/>
            <w:noWrap w:val="0"/>
            <w:vAlign w:val="center"/>
          </w:tcPr>
          <w:p w14:paraId="2F976798">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计件收费</w:t>
            </w:r>
          </w:p>
        </w:tc>
        <w:tc>
          <w:tcPr>
            <w:tcW w:w="447" w:type="pct"/>
            <w:noWrap w:val="0"/>
            <w:vAlign w:val="center"/>
          </w:tcPr>
          <w:p w14:paraId="0FDF8851">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计时收费</w:t>
            </w:r>
          </w:p>
        </w:tc>
        <w:tc>
          <w:tcPr>
            <w:tcW w:w="561" w:type="pct"/>
            <w:noWrap w:val="0"/>
            <w:vAlign w:val="center"/>
          </w:tcPr>
          <w:p w14:paraId="6C343F25">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风险</w:t>
            </w:r>
          </w:p>
          <w:p w14:paraId="3D2273EA">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代理</w:t>
            </w:r>
          </w:p>
        </w:tc>
        <w:tc>
          <w:tcPr>
            <w:tcW w:w="1925" w:type="pct"/>
            <w:noWrap w:val="0"/>
            <w:vAlign w:val="center"/>
          </w:tcPr>
          <w:p w14:paraId="6A6E74E7">
            <w:pPr>
              <w:adjustRightInd w:val="0"/>
              <w:snapToGrid w:val="0"/>
              <w:spacing w:line="300" w:lineRule="exact"/>
              <w:jc w:val="center"/>
              <w:rPr>
                <w:rFonts w:eastAsia="仿宋"/>
                <w:lang w:eastAsia="zh-Hans"/>
              </w:rPr>
            </w:pPr>
            <w:r>
              <w:rPr>
                <w:rFonts w:hint="eastAsia" w:eastAsia="仿宋"/>
                <w:lang w:eastAsia="zh-Hans"/>
              </w:rPr>
              <w:t>收费说明</w:t>
            </w:r>
          </w:p>
        </w:tc>
      </w:tr>
      <w:tr w14:paraId="59360C97">
        <w:trPr>
          <w:jc w:val="center"/>
        </w:trPr>
        <w:tc>
          <w:tcPr>
            <w:tcW w:w="730" w:type="pct"/>
            <w:noWrap w:val="0"/>
            <w:vAlign w:val="center"/>
          </w:tcPr>
          <w:p w14:paraId="00982762">
            <w:pPr>
              <w:pStyle w:val="6"/>
              <w:adjustRightInd w:val="0"/>
              <w:snapToGrid w:val="0"/>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Times New Roman" w:eastAsia="仿宋" w:cs="Times New Roman"/>
                <w:sz w:val="21"/>
                <w:szCs w:val="21"/>
                <w:lang w:val="en-US" w:eastAsia="zh-Hans"/>
              </w:rPr>
              <w:t>.</w:t>
            </w:r>
            <w:r>
              <w:rPr>
                <w:rFonts w:hint="eastAsia" w:ascii="Times New Roman" w:hAnsi="Times New Roman" w:eastAsia="仿宋" w:cs="Times New Roman"/>
                <w:sz w:val="21"/>
                <w:szCs w:val="21"/>
              </w:rPr>
              <w:t>不涉及财产</w:t>
            </w:r>
          </w:p>
        </w:tc>
        <w:tc>
          <w:tcPr>
            <w:tcW w:w="920" w:type="pct"/>
            <w:gridSpan w:val="2"/>
            <w:noWrap w:val="0"/>
            <w:vAlign w:val="center"/>
          </w:tcPr>
          <w:p w14:paraId="1A3221C3">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不适用</w:t>
            </w:r>
          </w:p>
        </w:tc>
        <w:tc>
          <w:tcPr>
            <w:tcW w:w="414" w:type="pct"/>
            <w:vMerge w:val="restart"/>
            <w:noWrap w:val="0"/>
            <w:vAlign w:val="center"/>
          </w:tcPr>
          <w:p w14:paraId="225395D3">
            <w:pPr>
              <w:pStyle w:val="6"/>
              <w:adjustRightInd w:val="0"/>
              <w:snapToGrid w:val="0"/>
              <w:spacing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XXXX</w:t>
            </w:r>
            <w:r>
              <w:rPr>
                <w:rFonts w:hint="eastAsia" w:ascii="Times New Roman" w:hAnsi="Times New Roman" w:eastAsia="仿宋" w:cs="Times New Roman"/>
                <w:sz w:val="21"/>
                <w:szCs w:val="21"/>
              </w:rPr>
              <w:t>元起</w:t>
            </w:r>
          </w:p>
        </w:tc>
        <w:tc>
          <w:tcPr>
            <w:tcW w:w="447" w:type="pct"/>
            <w:vMerge w:val="restart"/>
            <w:noWrap w:val="0"/>
            <w:vAlign w:val="center"/>
          </w:tcPr>
          <w:p w14:paraId="2856F393">
            <w:pPr>
              <w:pStyle w:val="6"/>
              <w:adjustRightInd w:val="0"/>
              <w:snapToGrid w:val="0"/>
              <w:spacing w:line="300" w:lineRule="exact"/>
              <w:jc w:val="center"/>
              <w:rPr>
                <w:rFonts w:ascii="Times New Roman" w:hAnsi="Times New Roman" w:eastAsia="仿宋" w:cs="Times New Roman"/>
                <w:sz w:val="21"/>
                <w:szCs w:val="21"/>
              </w:rPr>
            </w:pPr>
            <w:r>
              <w:rPr>
                <w:rFonts w:hint="eastAsia" w:eastAsia="仿宋"/>
                <w:b/>
                <w:bCs/>
                <w:lang w:val="en-US" w:eastAsia="zh-CN"/>
              </w:rPr>
              <w:t>详见本标准第五条第四项</w:t>
            </w:r>
          </w:p>
        </w:tc>
        <w:tc>
          <w:tcPr>
            <w:tcW w:w="561" w:type="pct"/>
            <w:vMerge w:val="restart"/>
            <w:noWrap w:val="0"/>
            <w:vAlign w:val="center"/>
          </w:tcPr>
          <w:p w14:paraId="71958E66">
            <w:pPr>
              <w:pStyle w:val="6"/>
              <w:adjustRightInd w:val="0"/>
              <w:snapToGrid w:val="0"/>
              <w:spacing w:line="30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基础</w:t>
            </w:r>
            <w:r>
              <w:rPr>
                <w:rFonts w:hint="eastAsia" w:ascii="Times New Roman" w:hAnsi="Times New Roman" w:eastAsia="仿宋" w:cs="Times New Roman"/>
                <w:sz w:val="21"/>
                <w:szCs w:val="21"/>
                <w:lang w:val="en-US" w:eastAsia="zh-CN"/>
              </w:rPr>
              <w:t>服务</w:t>
            </w:r>
            <w:r>
              <w:rPr>
                <w:rFonts w:hint="eastAsia" w:ascii="Times New Roman" w:hAnsi="Times New Roman" w:eastAsia="仿宋" w:cs="Times New Roman"/>
                <w:sz w:val="21"/>
                <w:szCs w:val="21"/>
              </w:rPr>
              <w:t>费</w:t>
            </w:r>
            <w:r>
              <w:rPr>
                <w:rFonts w:ascii="Times New Roman" w:hAnsi="Times New Roman" w:eastAsia="仿宋" w:cs="Times New Roman"/>
                <w:sz w:val="21"/>
                <w:szCs w:val="21"/>
              </w:rPr>
              <w:t>+</w:t>
            </w:r>
            <w:r>
              <w:rPr>
                <w:rFonts w:hint="eastAsia" w:ascii="Times New Roman" w:hAnsi="Times New Roman" w:eastAsia="仿宋" w:cs="Times New Roman"/>
                <w:sz w:val="21"/>
                <w:szCs w:val="21"/>
              </w:rPr>
              <w:t>风险</w:t>
            </w:r>
            <w:r>
              <w:rPr>
                <w:rFonts w:hint="eastAsia" w:ascii="Times New Roman" w:hAnsi="Times New Roman" w:eastAsia="仿宋" w:cs="Times New Roman"/>
                <w:sz w:val="21"/>
                <w:szCs w:val="21"/>
                <w:lang w:val="en-US" w:eastAsia="zh-CN"/>
              </w:rPr>
              <w:t>服务</w:t>
            </w:r>
            <w:r>
              <w:rPr>
                <w:rFonts w:hint="eastAsia" w:ascii="Times New Roman" w:hAnsi="Times New Roman" w:eastAsia="仿宋" w:cs="Times New Roman"/>
                <w:sz w:val="21"/>
                <w:szCs w:val="21"/>
              </w:rPr>
              <w:t>费</w:t>
            </w:r>
          </w:p>
        </w:tc>
        <w:tc>
          <w:tcPr>
            <w:tcW w:w="1925" w:type="pct"/>
            <w:vMerge w:val="restart"/>
            <w:noWrap w:val="0"/>
            <w:vAlign w:val="center"/>
          </w:tcPr>
          <w:p w14:paraId="3C19E2F2">
            <w:pPr>
              <w:adjustRightInd w:val="0"/>
              <w:snapToGrid w:val="0"/>
              <w:spacing w:line="300" w:lineRule="exact"/>
              <w:rPr>
                <w:rFonts w:eastAsia="仿宋"/>
              </w:rPr>
            </w:pPr>
            <w:r>
              <w:rPr>
                <w:rFonts w:hint="eastAsia" w:eastAsia="仿宋"/>
              </w:rPr>
              <w:t>（</w:t>
            </w:r>
            <w:r>
              <w:rPr>
                <w:rFonts w:eastAsia="仿宋"/>
              </w:rPr>
              <w:t>1</w:t>
            </w:r>
            <w:r>
              <w:rPr>
                <w:rFonts w:hint="eastAsia" w:eastAsia="仿宋"/>
              </w:rPr>
              <w:t>）涉及财产案件，可按分档费率分段计算累加。</w:t>
            </w:r>
          </w:p>
          <w:p w14:paraId="7A5BFDB2">
            <w:pPr>
              <w:adjustRightInd w:val="0"/>
              <w:snapToGrid w:val="0"/>
              <w:spacing w:line="300" w:lineRule="exact"/>
              <w:rPr>
                <w:rFonts w:eastAsia="仿宋"/>
              </w:rPr>
            </w:pPr>
            <w:r>
              <w:rPr>
                <w:rFonts w:hint="eastAsia" w:eastAsia="仿宋"/>
              </w:rPr>
              <w:t>（</w:t>
            </w:r>
            <w:r>
              <w:rPr>
                <w:rFonts w:eastAsia="仿宋"/>
              </w:rPr>
              <w:t>2</w:t>
            </w:r>
            <w:r>
              <w:rPr>
                <w:rFonts w:hint="eastAsia" w:eastAsia="仿宋"/>
              </w:rPr>
              <w:t>）民事、国家赔偿及仲裁案件同时涉及财产和非财产关系的，按较高者计算并收费。</w:t>
            </w:r>
          </w:p>
          <w:p w14:paraId="553CEA75">
            <w:pPr>
              <w:adjustRightInd w:val="0"/>
              <w:snapToGrid w:val="0"/>
              <w:spacing w:line="300" w:lineRule="exact"/>
              <w:rPr>
                <w:rFonts w:eastAsia="仿宋"/>
              </w:rPr>
            </w:pPr>
            <w:r>
              <w:rPr>
                <w:rFonts w:hint="eastAsia" w:eastAsia="仿宋"/>
              </w:rPr>
              <w:t>（</w:t>
            </w:r>
            <w:r>
              <w:rPr>
                <w:rFonts w:eastAsia="仿宋"/>
              </w:rPr>
              <w:t>3</w:t>
            </w:r>
            <w:r>
              <w:rPr>
                <w:rFonts w:hint="eastAsia" w:eastAsia="仿宋"/>
              </w:rPr>
              <w:t>）代理本诉同时代理反诉案件的，采用计件收费或按标的额比例收费时，反诉代理费一般情况下可以给予优惠，特殊情况可以另行协商。</w:t>
            </w:r>
          </w:p>
          <w:p w14:paraId="2680F407">
            <w:pPr>
              <w:adjustRightInd w:val="0"/>
              <w:snapToGrid w:val="0"/>
              <w:spacing w:line="300" w:lineRule="exact"/>
              <w:rPr>
                <w:rFonts w:eastAsia="仿宋"/>
              </w:rPr>
            </w:pPr>
            <w:r>
              <w:rPr>
                <w:rFonts w:hint="eastAsia" w:eastAsia="仿宋"/>
              </w:rPr>
              <w:t>（</w:t>
            </w:r>
            <w:r>
              <w:rPr>
                <w:rFonts w:eastAsia="仿宋"/>
              </w:rPr>
              <w:t>4</w:t>
            </w:r>
            <w:r>
              <w:rPr>
                <w:rFonts w:hint="eastAsia" w:eastAsia="仿宋"/>
              </w:rPr>
              <w:t>）单独代理二审、再审、仲裁、执行、反诉、申诉案件的，按照一审收费标准收费。曾代理前一阶段的，采用计件收费或按标的额比例收费时，在分别计算基础上，后一阶段起一般情况下可以给予优惠，特殊情况可以另行协商。</w:t>
            </w:r>
          </w:p>
          <w:p w14:paraId="2CB5067B">
            <w:pPr>
              <w:adjustRightInd w:val="0"/>
              <w:snapToGrid w:val="0"/>
              <w:spacing w:line="300" w:lineRule="exact"/>
              <w:rPr>
                <w:rFonts w:eastAsia="仿宋"/>
              </w:rPr>
            </w:pPr>
            <w:r>
              <w:rPr>
                <w:rFonts w:hint="eastAsia" w:eastAsia="仿宋"/>
              </w:rPr>
              <w:t>（</w:t>
            </w:r>
            <w:r>
              <w:rPr>
                <w:rFonts w:eastAsia="仿宋"/>
              </w:rPr>
              <w:t>5</w:t>
            </w:r>
            <w:r>
              <w:rPr>
                <w:rFonts w:hint="eastAsia" w:eastAsia="仿宋"/>
              </w:rPr>
              <w:t>）律师事务所在风险代理各个环节收取的律师服务费合计最高金额应当符合下列规定：</w:t>
            </w:r>
          </w:p>
          <w:p w14:paraId="1A4C2817">
            <w:pPr>
              <w:adjustRightInd w:val="0"/>
              <w:snapToGrid w:val="0"/>
              <w:spacing w:line="300" w:lineRule="exact"/>
              <w:rPr>
                <w:rFonts w:eastAsia="仿宋"/>
              </w:rPr>
            </w:pPr>
            <w:r>
              <w:rPr>
                <w:rFonts w:hint="eastAsia" w:eastAsia="仿宋"/>
              </w:rPr>
              <w:t>标的额不足人民币100万元的部分，不得超过标的额的18%；标的额在人民币100万元以上（含100万元）不足500万元的部分，不得超过标的额的15%；标的额在人民币500万元以上（含500万元）不足1000万元的部分，不得超过标的额的12%；标的额在人民币1000万元以上（含1000万元）不足5000万元的部分，不得超过标的额的9%；标的额在人民币5000万元以上（含5000万元）的部分，不得超过标的额的6%。</w:t>
            </w:r>
          </w:p>
          <w:p w14:paraId="58722816">
            <w:pPr>
              <w:adjustRightInd w:val="0"/>
              <w:snapToGrid w:val="0"/>
              <w:spacing w:line="300" w:lineRule="exact"/>
              <w:rPr>
                <w:rFonts w:ascii="华文仿宋" w:hAnsi="华文仿宋" w:eastAsia="华文仿宋" w:cs="华文仿宋"/>
              </w:rPr>
            </w:pPr>
            <w:r>
              <w:rPr>
                <w:rFonts w:hint="eastAsia" w:ascii="华文仿宋" w:hAnsi="华文仿宋" w:eastAsia="华文仿宋" w:cs="华文仿宋"/>
              </w:rPr>
              <w:t>在</w:t>
            </w:r>
            <w:r>
              <w:rPr>
                <w:rFonts w:hint="eastAsia" w:eastAsia="仿宋"/>
              </w:rPr>
              <w:t>律师服务费合计最高金额</w:t>
            </w:r>
            <w:r>
              <w:rPr>
                <w:rFonts w:hint="eastAsia" w:ascii="华文仿宋" w:hAnsi="华文仿宋" w:eastAsia="华文仿宋" w:cs="华文仿宋"/>
              </w:rPr>
              <w:t>符合上述规定的前提下，律师服务费具体金额或收费比例，由委托人与本所遵循平等、自愿、诚信原则协商确定。</w:t>
            </w:r>
          </w:p>
          <w:p w14:paraId="360AA1A5">
            <w:pPr>
              <w:adjustRightInd w:val="0"/>
              <w:snapToGrid w:val="0"/>
              <w:spacing w:line="300" w:lineRule="exact"/>
              <w:rPr>
                <w:rFonts w:eastAsia="仿宋"/>
              </w:rPr>
            </w:pPr>
            <w:r>
              <w:rPr>
                <w:rFonts w:hint="eastAsia" w:eastAsia="仿宋"/>
              </w:rPr>
              <w:t>（</w:t>
            </w:r>
            <w:r>
              <w:rPr>
                <w:rFonts w:eastAsia="仿宋"/>
              </w:rPr>
              <w:t>6</w:t>
            </w:r>
            <w:r>
              <w:rPr>
                <w:rFonts w:hint="eastAsia" w:eastAsia="仿宋"/>
              </w:rPr>
              <w:t>）咨询、代书、见证、文书审查</w:t>
            </w:r>
            <w:r>
              <w:rPr>
                <w:rFonts w:eastAsia="仿宋"/>
              </w:rPr>
              <w:t>、</w:t>
            </w:r>
            <w:r>
              <w:rPr>
                <w:rFonts w:hint="eastAsia" w:eastAsia="仿宋"/>
              </w:rPr>
              <w:t>协助调查、尽职调查、出具法律意见书、律师函、申办证照等，可按照计件收费或计时收费</w:t>
            </w:r>
            <w:r>
              <w:rPr>
                <w:rFonts w:hint="eastAsia" w:eastAsia="仿宋"/>
                <w:lang w:eastAsia="zh-Hans"/>
              </w:rPr>
              <w:t>标准</w:t>
            </w:r>
            <w:r>
              <w:rPr>
                <w:rFonts w:hint="eastAsia" w:eastAsia="仿宋"/>
              </w:rPr>
              <w:t>执行。</w:t>
            </w:r>
          </w:p>
        </w:tc>
      </w:tr>
      <w:tr w14:paraId="2CCF7C5E">
        <w:trPr>
          <w:trHeight w:val="494" w:hRule="atLeast"/>
          <w:jc w:val="center"/>
        </w:trPr>
        <w:tc>
          <w:tcPr>
            <w:tcW w:w="730" w:type="pct"/>
            <w:noWrap w:val="0"/>
            <w:vAlign w:val="center"/>
          </w:tcPr>
          <w:p w14:paraId="6C5526EE">
            <w:pPr>
              <w:pStyle w:val="6"/>
              <w:adjustRightInd w:val="0"/>
              <w:snapToGrid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Times New Roman" w:eastAsia="仿宋" w:cs="Times New Roman"/>
                <w:sz w:val="21"/>
                <w:szCs w:val="21"/>
                <w:lang w:val="en-US" w:eastAsia="zh-Hans"/>
              </w:rPr>
              <w:t>.</w:t>
            </w:r>
            <w:r>
              <w:rPr>
                <w:rFonts w:hint="eastAsia" w:ascii="Times New Roman" w:hAnsi="Times New Roman" w:eastAsia="仿宋" w:cs="Times New Roman"/>
                <w:sz w:val="21"/>
                <w:szCs w:val="21"/>
              </w:rPr>
              <w:t>涉及财产</w:t>
            </w:r>
          </w:p>
        </w:tc>
        <w:tc>
          <w:tcPr>
            <w:tcW w:w="920" w:type="pct"/>
            <w:gridSpan w:val="2"/>
            <w:noWrap w:val="0"/>
            <w:vAlign w:val="center"/>
          </w:tcPr>
          <w:p w14:paraId="3CB15F4A">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按分档费率</w:t>
            </w:r>
            <w:r>
              <w:rPr>
                <w:rFonts w:hint="eastAsia" w:ascii="Times New Roman" w:hAnsi="Times New Roman" w:eastAsia="仿宋" w:cs="Times New Roman"/>
                <w:sz w:val="21"/>
                <w:szCs w:val="21"/>
                <w:lang w:val="en-US" w:eastAsia="zh-CN"/>
              </w:rPr>
              <w:t>分段计算</w:t>
            </w:r>
            <w:r>
              <w:rPr>
                <w:rFonts w:hint="eastAsia" w:ascii="Times New Roman" w:hAnsi="Times New Roman" w:eastAsia="仿宋" w:cs="Times New Roman"/>
                <w:sz w:val="21"/>
                <w:szCs w:val="21"/>
              </w:rPr>
              <w:t>累</w:t>
            </w:r>
            <w:r>
              <w:rPr>
                <w:rFonts w:hint="eastAsia" w:ascii="Times New Roman" w:hAnsi="Times New Roman" w:eastAsia="仿宋" w:cs="Times New Roman"/>
                <w:sz w:val="21"/>
                <w:szCs w:val="21"/>
                <w:lang w:val="en-US" w:eastAsia="zh-CN"/>
              </w:rPr>
              <w:t>加</w:t>
            </w:r>
          </w:p>
        </w:tc>
        <w:tc>
          <w:tcPr>
            <w:tcW w:w="414" w:type="pct"/>
            <w:vMerge w:val="continue"/>
            <w:noWrap w:val="0"/>
            <w:vAlign w:val="center"/>
          </w:tcPr>
          <w:p w14:paraId="530031C0">
            <w:pPr>
              <w:pStyle w:val="6"/>
              <w:adjustRightInd w:val="0"/>
              <w:snapToGrid w:val="0"/>
              <w:spacing w:line="300" w:lineRule="exact"/>
              <w:jc w:val="center"/>
              <w:rPr>
                <w:rFonts w:ascii="Times New Roman" w:hAnsi="Times New Roman" w:eastAsia="仿宋" w:cs="Times New Roman"/>
                <w:sz w:val="21"/>
                <w:szCs w:val="21"/>
              </w:rPr>
            </w:pPr>
          </w:p>
        </w:tc>
        <w:tc>
          <w:tcPr>
            <w:tcW w:w="447" w:type="pct"/>
            <w:vMerge w:val="continue"/>
            <w:noWrap w:val="0"/>
            <w:vAlign w:val="center"/>
          </w:tcPr>
          <w:p w14:paraId="77F2B571">
            <w:pPr>
              <w:adjustRightInd w:val="0"/>
              <w:snapToGrid w:val="0"/>
              <w:spacing w:line="300" w:lineRule="exact"/>
              <w:jc w:val="center"/>
              <w:rPr>
                <w:rFonts w:eastAsia="仿宋"/>
              </w:rPr>
            </w:pPr>
          </w:p>
        </w:tc>
        <w:tc>
          <w:tcPr>
            <w:tcW w:w="561" w:type="pct"/>
            <w:vMerge w:val="continue"/>
            <w:noWrap w:val="0"/>
            <w:vAlign w:val="top"/>
          </w:tcPr>
          <w:p w14:paraId="268F7982">
            <w:pPr>
              <w:adjustRightInd w:val="0"/>
              <w:snapToGrid w:val="0"/>
              <w:spacing w:line="300" w:lineRule="exact"/>
              <w:rPr>
                <w:rFonts w:eastAsia="仿宋"/>
              </w:rPr>
            </w:pPr>
          </w:p>
        </w:tc>
        <w:tc>
          <w:tcPr>
            <w:tcW w:w="1925" w:type="pct"/>
            <w:vMerge w:val="continue"/>
            <w:noWrap w:val="0"/>
            <w:vAlign w:val="top"/>
          </w:tcPr>
          <w:p w14:paraId="6808D390">
            <w:pPr>
              <w:spacing w:line="300" w:lineRule="exact"/>
              <w:rPr>
                <w:rFonts w:eastAsia="仿宋"/>
              </w:rPr>
            </w:pPr>
          </w:p>
        </w:tc>
      </w:tr>
      <w:tr w14:paraId="28B23570">
        <w:trPr>
          <w:jc w:val="center"/>
        </w:trPr>
        <w:tc>
          <w:tcPr>
            <w:tcW w:w="730" w:type="pct"/>
            <w:noWrap w:val="0"/>
            <w:vAlign w:val="center"/>
          </w:tcPr>
          <w:p w14:paraId="7B627C32">
            <w:pPr>
              <w:pStyle w:val="6"/>
              <w:adjustRightInd w:val="0"/>
              <w:snapToGrid w:val="0"/>
              <w:spacing w:line="300" w:lineRule="exact"/>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标的额</w:t>
            </w:r>
          </w:p>
        </w:tc>
        <w:tc>
          <w:tcPr>
            <w:tcW w:w="389" w:type="pct"/>
            <w:noWrap w:val="0"/>
            <w:vAlign w:val="center"/>
          </w:tcPr>
          <w:p w14:paraId="1670CC63">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诉讼</w:t>
            </w:r>
          </w:p>
        </w:tc>
        <w:tc>
          <w:tcPr>
            <w:tcW w:w="531" w:type="pct"/>
            <w:noWrap w:val="0"/>
            <w:vAlign w:val="center"/>
          </w:tcPr>
          <w:p w14:paraId="653BCFBB">
            <w:pPr>
              <w:pStyle w:val="6"/>
              <w:adjustRightInd w:val="0"/>
              <w:snapToGrid w:val="0"/>
              <w:spacing w:line="300" w:lineRule="exact"/>
              <w:jc w:val="center"/>
              <w:rPr>
                <w:rFonts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非诉讼</w:t>
            </w:r>
          </w:p>
        </w:tc>
        <w:tc>
          <w:tcPr>
            <w:tcW w:w="414" w:type="pct"/>
            <w:vMerge w:val="continue"/>
            <w:noWrap w:val="0"/>
            <w:vAlign w:val="center"/>
          </w:tcPr>
          <w:p w14:paraId="1BB09DBF">
            <w:pPr>
              <w:pStyle w:val="6"/>
              <w:adjustRightInd w:val="0"/>
              <w:snapToGrid w:val="0"/>
              <w:spacing w:line="300" w:lineRule="exact"/>
              <w:jc w:val="center"/>
              <w:rPr>
                <w:rFonts w:ascii="Times New Roman" w:hAnsi="Times New Roman" w:eastAsia="仿宋" w:cs="Times New Roman"/>
                <w:sz w:val="21"/>
                <w:szCs w:val="21"/>
              </w:rPr>
            </w:pPr>
          </w:p>
        </w:tc>
        <w:tc>
          <w:tcPr>
            <w:tcW w:w="447" w:type="pct"/>
            <w:vMerge w:val="continue"/>
            <w:noWrap w:val="0"/>
            <w:vAlign w:val="center"/>
          </w:tcPr>
          <w:p w14:paraId="607574B9">
            <w:pPr>
              <w:adjustRightInd w:val="0"/>
              <w:snapToGrid w:val="0"/>
              <w:spacing w:line="300" w:lineRule="exact"/>
              <w:jc w:val="center"/>
              <w:rPr>
                <w:rFonts w:eastAsia="仿宋"/>
              </w:rPr>
            </w:pPr>
          </w:p>
        </w:tc>
        <w:tc>
          <w:tcPr>
            <w:tcW w:w="561" w:type="pct"/>
            <w:vMerge w:val="continue"/>
            <w:noWrap w:val="0"/>
            <w:vAlign w:val="top"/>
          </w:tcPr>
          <w:p w14:paraId="6A27B227">
            <w:pPr>
              <w:adjustRightInd w:val="0"/>
              <w:snapToGrid w:val="0"/>
              <w:spacing w:line="300" w:lineRule="exact"/>
              <w:rPr>
                <w:rFonts w:eastAsia="仿宋"/>
              </w:rPr>
            </w:pPr>
          </w:p>
        </w:tc>
        <w:tc>
          <w:tcPr>
            <w:tcW w:w="1925" w:type="pct"/>
            <w:vMerge w:val="continue"/>
            <w:noWrap w:val="0"/>
            <w:vAlign w:val="top"/>
          </w:tcPr>
          <w:p w14:paraId="7161F209">
            <w:pPr>
              <w:spacing w:line="300" w:lineRule="exact"/>
              <w:rPr>
                <w:rFonts w:eastAsia="仿宋"/>
              </w:rPr>
            </w:pPr>
          </w:p>
        </w:tc>
      </w:tr>
      <w:tr w14:paraId="0638B2B7">
        <w:trPr>
          <w:jc w:val="center"/>
        </w:trPr>
        <w:tc>
          <w:tcPr>
            <w:tcW w:w="730" w:type="pct"/>
            <w:noWrap w:val="0"/>
            <w:vAlign w:val="center"/>
          </w:tcPr>
          <w:p w14:paraId="01CA8757">
            <w:pPr>
              <w:pStyle w:val="6"/>
              <w:adjustRightInd w:val="0"/>
              <w:snapToGrid w:val="0"/>
              <w:spacing w:line="300" w:lineRule="exact"/>
              <w:jc w:val="center"/>
              <w:rPr>
                <w:rFonts w:ascii="Times New Roman" w:hAnsi="Times New Roman" w:eastAsia="仿宋" w:cs="Times New Roman"/>
                <w:sz w:val="21"/>
                <w:szCs w:val="21"/>
                <w:lang w:val="en-US" w:eastAsia="zh-CN" w:bidi="en-US"/>
              </w:rPr>
            </w:pP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70653BEA">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XXX元起</w:t>
            </w:r>
          </w:p>
        </w:tc>
        <w:tc>
          <w:tcPr>
            <w:tcW w:w="531" w:type="pct"/>
            <w:noWrap w:val="0"/>
            <w:vAlign w:val="center"/>
          </w:tcPr>
          <w:p w14:paraId="0DDE265F">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XXX元起</w:t>
            </w:r>
          </w:p>
        </w:tc>
        <w:tc>
          <w:tcPr>
            <w:tcW w:w="414" w:type="pct"/>
            <w:vMerge w:val="continue"/>
            <w:noWrap w:val="0"/>
            <w:vAlign w:val="center"/>
          </w:tcPr>
          <w:p w14:paraId="4A6A5274">
            <w:pPr>
              <w:pStyle w:val="6"/>
              <w:adjustRightInd w:val="0"/>
              <w:snapToGrid w:val="0"/>
              <w:spacing w:line="300" w:lineRule="exact"/>
              <w:jc w:val="center"/>
              <w:rPr>
                <w:rFonts w:ascii="Times New Roman" w:hAnsi="Times New Roman" w:eastAsia="仿宋" w:cs="Times New Roman"/>
                <w:sz w:val="21"/>
                <w:szCs w:val="21"/>
              </w:rPr>
            </w:pPr>
          </w:p>
        </w:tc>
        <w:tc>
          <w:tcPr>
            <w:tcW w:w="447" w:type="pct"/>
            <w:vMerge w:val="continue"/>
            <w:noWrap w:val="0"/>
            <w:vAlign w:val="center"/>
          </w:tcPr>
          <w:p w14:paraId="42995C9F">
            <w:pPr>
              <w:adjustRightInd w:val="0"/>
              <w:snapToGrid w:val="0"/>
              <w:spacing w:line="300" w:lineRule="exact"/>
              <w:jc w:val="center"/>
              <w:rPr>
                <w:rFonts w:eastAsia="仿宋"/>
              </w:rPr>
            </w:pPr>
          </w:p>
        </w:tc>
        <w:tc>
          <w:tcPr>
            <w:tcW w:w="561" w:type="pct"/>
            <w:vMerge w:val="continue"/>
            <w:noWrap w:val="0"/>
            <w:vAlign w:val="top"/>
          </w:tcPr>
          <w:p w14:paraId="5531E9CE">
            <w:pPr>
              <w:adjustRightInd w:val="0"/>
              <w:snapToGrid w:val="0"/>
              <w:spacing w:line="300" w:lineRule="exact"/>
              <w:rPr>
                <w:rFonts w:eastAsia="仿宋"/>
              </w:rPr>
            </w:pPr>
          </w:p>
        </w:tc>
        <w:tc>
          <w:tcPr>
            <w:tcW w:w="1925" w:type="pct"/>
            <w:vMerge w:val="continue"/>
            <w:noWrap w:val="0"/>
            <w:vAlign w:val="top"/>
          </w:tcPr>
          <w:p w14:paraId="7C9C4CD5">
            <w:pPr>
              <w:spacing w:line="300" w:lineRule="exact"/>
              <w:rPr>
                <w:rFonts w:eastAsia="仿宋"/>
              </w:rPr>
            </w:pPr>
          </w:p>
        </w:tc>
      </w:tr>
      <w:tr w14:paraId="08D5364B">
        <w:trPr>
          <w:trHeight w:val="883" w:hRule="atLeast"/>
          <w:jc w:val="center"/>
        </w:trPr>
        <w:tc>
          <w:tcPr>
            <w:tcW w:w="730" w:type="pct"/>
            <w:noWrap w:val="0"/>
            <w:vAlign w:val="center"/>
          </w:tcPr>
          <w:p w14:paraId="3383E7C5">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7744B543">
            <w:pPr>
              <w:pStyle w:val="6"/>
              <w:adjustRightInd w:val="0"/>
              <w:snapToGrid w:val="0"/>
              <w:spacing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2AB8DBA3">
            <w:pPr>
              <w:pStyle w:val="6"/>
              <w:adjustRightInd w:val="0"/>
              <w:snapToGrid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0C3E9D9B">
            <w:pPr>
              <w:pStyle w:val="6"/>
              <w:adjustRightInd w:val="0"/>
              <w:snapToGrid w:val="0"/>
              <w:spacing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7C9829DC">
            <w:pPr>
              <w:adjustRightInd w:val="0"/>
              <w:snapToGrid w:val="0"/>
              <w:spacing w:line="300" w:lineRule="exact"/>
              <w:jc w:val="center"/>
              <w:rPr>
                <w:rFonts w:eastAsia="仿宋"/>
              </w:rPr>
            </w:pPr>
          </w:p>
        </w:tc>
        <w:tc>
          <w:tcPr>
            <w:tcW w:w="561" w:type="pct"/>
            <w:vMerge w:val="continue"/>
            <w:noWrap w:val="0"/>
            <w:vAlign w:val="top"/>
          </w:tcPr>
          <w:p w14:paraId="4DB0393A">
            <w:pPr>
              <w:adjustRightInd w:val="0"/>
              <w:snapToGrid w:val="0"/>
              <w:spacing w:line="300" w:lineRule="exact"/>
              <w:rPr>
                <w:rFonts w:eastAsia="仿宋"/>
              </w:rPr>
            </w:pPr>
          </w:p>
        </w:tc>
        <w:tc>
          <w:tcPr>
            <w:tcW w:w="1925" w:type="pct"/>
            <w:vMerge w:val="continue"/>
            <w:noWrap w:val="0"/>
            <w:vAlign w:val="top"/>
          </w:tcPr>
          <w:p w14:paraId="50917405">
            <w:pPr>
              <w:spacing w:line="300" w:lineRule="exact"/>
              <w:rPr>
                <w:rFonts w:eastAsia="仿宋"/>
              </w:rPr>
            </w:pPr>
          </w:p>
        </w:tc>
      </w:tr>
      <w:tr w14:paraId="4CE66415">
        <w:trPr>
          <w:trHeight w:val="1247" w:hRule="atLeast"/>
          <w:jc w:val="center"/>
        </w:trPr>
        <w:tc>
          <w:tcPr>
            <w:tcW w:w="730" w:type="pct"/>
            <w:noWrap w:val="0"/>
            <w:vAlign w:val="center"/>
          </w:tcPr>
          <w:p w14:paraId="461A9C28">
            <w:pPr>
              <w:pStyle w:val="6"/>
              <w:adjustRightInd w:val="0"/>
              <w:snapToGrid w:val="0"/>
              <w:spacing w:line="300" w:lineRule="exact"/>
              <w:jc w:val="center"/>
              <w:rPr>
                <w:rFonts w:ascii="Times New Roman" w:hAnsi="Times New Roman" w:eastAsia="仿宋" w:cs="Times New Roman"/>
                <w:sz w:val="21"/>
                <w:szCs w:val="21"/>
                <w:lang w:val="en-US"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2A3D5D23">
            <w:pPr>
              <w:pStyle w:val="6"/>
              <w:adjustRightInd w:val="0"/>
              <w:snapToGrid w:val="0"/>
              <w:spacing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3D064421">
            <w:pPr>
              <w:pStyle w:val="6"/>
              <w:adjustRightInd w:val="0"/>
              <w:snapToGrid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08C151B5">
            <w:pPr>
              <w:pStyle w:val="6"/>
              <w:adjustRightInd w:val="0"/>
              <w:snapToGrid w:val="0"/>
              <w:spacing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7B1EC8B2">
            <w:pPr>
              <w:adjustRightInd w:val="0"/>
              <w:snapToGrid w:val="0"/>
              <w:spacing w:line="300" w:lineRule="exact"/>
              <w:jc w:val="center"/>
              <w:rPr>
                <w:rFonts w:eastAsia="仿宋"/>
              </w:rPr>
            </w:pPr>
          </w:p>
        </w:tc>
        <w:tc>
          <w:tcPr>
            <w:tcW w:w="561" w:type="pct"/>
            <w:vMerge w:val="continue"/>
            <w:noWrap w:val="0"/>
            <w:vAlign w:val="top"/>
          </w:tcPr>
          <w:p w14:paraId="6BDE0B26">
            <w:pPr>
              <w:adjustRightInd w:val="0"/>
              <w:snapToGrid w:val="0"/>
              <w:spacing w:line="300" w:lineRule="exact"/>
              <w:rPr>
                <w:rFonts w:eastAsia="仿宋"/>
              </w:rPr>
            </w:pPr>
          </w:p>
        </w:tc>
        <w:tc>
          <w:tcPr>
            <w:tcW w:w="1925" w:type="pct"/>
            <w:vMerge w:val="continue"/>
            <w:noWrap w:val="0"/>
            <w:vAlign w:val="top"/>
          </w:tcPr>
          <w:p w14:paraId="77F9E81B">
            <w:pPr>
              <w:spacing w:line="300" w:lineRule="exact"/>
              <w:rPr>
                <w:rFonts w:eastAsia="仿宋"/>
              </w:rPr>
            </w:pPr>
          </w:p>
        </w:tc>
      </w:tr>
      <w:tr w14:paraId="238532A1">
        <w:trPr>
          <w:trHeight w:val="1247" w:hRule="atLeast"/>
          <w:jc w:val="center"/>
        </w:trPr>
        <w:tc>
          <w:tcPr>
            <w:tcW w:w="730" w:type="pct"/>
            <w:noWrap w:val="0"/>
            <w:vAlign w:val="center"/>
          </w:tcPr>
          <w:p w14:paraId="5B2A900A">
            <w:pPr>
              <w:pStyle w:val="6"/>
              <w:adjustRightInd w:val="0"/>
              <w:snapToGrid w:val="0"/>
              <w:spacing w:before="120" w:line="300" w:lineRule="exact"/>
              <w:rPr>
                <w:rFonts w:eastAsia="仿宋"/>
                <w:sz w:val="21"/>
                <w:szCs w:val="21"/>
                <w:lang w:val="en-US"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0B443102">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7383B11B">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21DD3965">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16021B84">
            <w:pPr>
              <w:adjustRightInd w:val="0"/>
              <w:snapToGrid w:val="0"/>
              <w:spacing w:line="300" w:lineRule="exact"/>
              <w:jc w:val="center"/>
              <w:rPr>
                <w:rFonts w:eastAsia="仿宋"/>
              </w:rPr>
            </w:pPr>
          </w:p>
        </w:tc>
        <w:tc>
          <w:tcPr>
            <w:tcW w:w="561" w:type="pct"/>
            <w:vMerge w:val="continue"/>
            <w:noWrap w:val="0"/>
            <w:vAlign w:val="top"/>
          </w:tcPr>
          <w:p w14:paraId="63F0E344">
            <w:pPr>
              <w:adjustRightInd w:val="0"/>
              <w:snapToGrid w:val="0"/>
              <w:spacing w:line="300" w:lineRule="exact"/>
              <w:rPr>
                <w:rFonts w:eastAsia="仿宋"/>
              </w:rPr>
            </w:pPr>
          </w:p>
        </w:tc>
        <w:tc>
          <w:tcPr>
            <w:tcW w:w="1925" w:type="pct"/>
            <w:vMerge w:val="continue"/>
            <w:noWrap w:val="0"/>
            <w:vAlign w:val="top"/>
          </w:tcPr>
          <w:p w14:paraId="5CC58869">
            <w:pPr>
              <w:spacing w:line="300" w:lineRule="exact"/>
              <w:rPr>
                <w:rFonts w:eastAsia="仿宋"/>
              </w:rPr>
            </w:pPr>
          </w:p>
        </w:tc>
      </w:tr>
      <w:tr w14:paraId="1AF7BAEE">
        <w:trPr>
          <w:trHeight w:val="1247" w:hRule="atLeast"/>
          <w:jc w:val="center"/>
        </w:trPr>
        <w:tc>
          <w:tcPr>
            <w:tcW w:w="730" w:type="pct"/>
            <w:noWrap w:val="0"/>
            <w:vAlign w:val="center"/>
          </w:tcPr>
          <w:p w14:paraId="6454379B">
            <w:pPr>
              <w:pStyle w:val="6"/>
              <w:tabs>
                <w:tab w:val="left" w:pos="365"/>
              </w:tabs>
              <w:adjustRightInd w:val="0"/>
              <w:snapToGrid w:val="0"/>
              <w:spacing w:before="120" w:line="300" w:lineRule="exact"/>
              <w:jc w:val="left"/>
              <w:rPr>
                <w:rFonts w:ascii="Times New Roman" w:hAnsi="Times New Roman" w:eastAsia="仿宋" w:cs="Times New Roman"/>
                <w:sz w:val="21"/>
                <w:szCs w:val="21"/>
                <w:lang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678B1736">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6E56C101">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249952CD">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612780A8">
            <w:pPr>
              <w:adjustRightInd w:val="0"/>
              <w:snapToGrid w:val="0"/>
              <w:spacing w:line="300" w:lineRule="exact"/>
              <w:jc w:val="center"/>
              <w:rPr>
                <w:rFonts w:eastAsia="仿宋"/>
              </w:rPr>
            </w:pPr>
          </w:p>
        </w:tc>
        <w:tc>
          <w:tcPr>
            <w:tcW w:w="561" w:type="pct"/>
            <w:vMerge w:val="continue"/>
            <w:noWrap w:val="0"/>
            <w:vAlign w:val="top"/>
          </w:tcPr>
          <w:p w14:paraId="77BD15FE">
            <w:pPr>
              <w:adjustRightInd w:val="0"/>
              <w:snapToGrid w:val="0"/>
              <w:spacing w:line="300" w:lineRule="exact"/>
              <w:rPr>
                <w:rFonts w:eastAsia="仿宋"/>
              </w:rPr>
            </w:pPr>
          </w:p>
        </w:tc>
        <w:tc>
          <w:tcPr>
            <w:tcW w:w="1925" w:type="pct"/>
            <w:vMerge w:val="continue"/>
            <w:noWrap w:val="0"/>
            <w:vAlign w:val="top"/>
          </w:tcPr>
          <w:p w14:paraId="395FC831">
            <w:pPr>
              <w:spacing w:line="300" w:lineRule="exact"/>
              <w:rPr>
                <w:rFonts w:eastAsia="仿宋"/>
              </w:rPr>
            </w:pPr>
          </w:p>
        </w:tc>
      </w:tr>
      <w:tr w14:paraId="48E45592">
        <w:trPr>
          <w:trHeight w:val="1247" w:hRule="atLeast"/>
          <w:jc w:val="center"/>
        </w:trPr>
        <w:tc>
          <w:tcPr>
            <w:tcW w:w="730" w:type="pct"/>
            <w:noWrap w:val="0"/>
            <w:vAlign w:val="center"/>
          </w:tcPr>
          <w:p w14:paraId="5181D209">
            <w:pPr>
              <w:pStyle w:val="6"/>
              <w:adjustRightInd w:val="0"/>
              <w:snapToGrid w:val="0"/>
              <w:spacing w:before="120" w:line="300" w:lineRule="exac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516305EF">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5044F4AE">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6A551D66">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37018012">
            <w:pPr>
              <w:adjustRightInd w:val="0"/>
              <w:snapToGrid w:val="0"/>
              <w:spacing w:line="300" w:lineRule="exact"/>
              <w:jc w:val="center"/>
              <w:rPr>
                <w:rFonts w:eastAsia="仿宋"/>
              </w:rPr>
            </w:pPr>
          </w:p>
        </w:tc>
        <w:tc>
          <w:tcPr>
            <w:tcW w:w="561" w:type="pct"/>
            <w:vMerge w:val="continue"/>
            <w:noWrap w:val="0"/>
            <w:vAlign w:val="top"/>
          </w:tcPr>
          <w:p w14:paraId="5775D37A">
            <w:pPr>
              <w:adjustRightInd w:val="0"/>
              <w:snapToGrid w:val="0"/>
              <w:spacing w:line="300" w:lineRule="exact"/>
              <w:rPr>
                <w:rFonts w:eastAsia="仿宋"/>
              </w:rPr>
            </w:pPr>
          </w:p>
        </w:tc>
        <w:tc>
          <w:tcPr>
            <w:tcW w:w="1925" w:type="pct"/>
            <w:vMerge w:val="continue"/>
            <w:noWrap w:val="0"/>
            <w:vAlign w:val="top"/>
          </w:tcPr>
          <w:p w14:paraId="67695BFA">
            <w:pPr>
              <w:spacing w:line="300" w:lineRule="exact"/>
              <w:rPr>
                <w:rFonts w:eastAsia="仿宋"/>
              </w:rPr>
            </w:pPr>
          </w:p>
        </w:tc>
      </w:tr>
      <w:tr w14:paraId="3B00D756">
        <w:trPr>
          <w:trHeight w:val="850" w:hRule="atLeast"/>
          <w:jc w:val="center"/>
        </w:trPr>
        <w:tc>
          <w:tcPr>
            <w:tcW w:w="730" w:type="pct"/>
            <w:noWrap w:val="0"/>
            <w:vAlign w:val="center"/>
          </w:tcPr>
          <w:p w14:paraId="04ACD5F7">
            <w:pPr>
              <w:pStyle w:val="6"/>
              <w:adjustRightInd w:val="0"/>
              <w:snapToGrid w:val="0"/>
              <w:spacing w:before="120" w:line="300" w:lineRule="exac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&gt;X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r>
              <w:rPr>
                <w:rFonts w:hint="eastAsia" w:ascii="Times New Roman" w:hAnsi="Times New Roman" w:eastAsia="仿宋" w:cs="Times New Roman"/>
                <w:sz w:val="21"/>
                <w:szCs w:val="21"/>
                <w:lang w:val="en-US" w:eastAsia="zh-Hans" w:bidi="en-US"/>
              </w:rPr>
              <w:t>≤</w:t>
            </w:r>
            <w:r>
              <w:rPr>
                <w:rFonts w:ascii="Times New Roman" w:hAnsi="Times New Roman" w:eastAsia="仿宋" w:cs="Times New Roman"/>
                <w:sz w:val="21"/>
                <w:szCs w:val="21"/>
                <w:lang w:val="en-US" w:eastAsia="en-US" w:bidi="en-US"/>
              </w:rPr>
              <w:t>X</w:t>
            </w:r>
            <w:r>
              <w:rPr>
                <w:rFonts w:hint="eastAsia" w:ascii="Times New Roman" w:hAnsi="Times New Roman" w:eastAsia="仿宋" w:cs="Times New Roman"/>
                <w:sz w:val="21"/>
                <w:szCs w:val="21"/>
              </w:rPr>
              <w:t>万</w:t>
            </w:r>
            <w:r>
              <w:rPr>
                <w:rFonts w:hint="eastAsia" w:ascii="Times New Roman" w:hAnsi="Times New Roman" w:eastAsia="仿宋" w:cs="Times New Roman"/>
                <w:sz w:val="21"/>
                <w:szCs w:val="21"/>
                <w:lang w:val="en-US" w:eastAsia="zh-CN"/>
              </w:rPr>
              <w:t>元</w:t>
            </w:r>
          </w:p>
        </w:tc>
        <w:tc>
          <w:tcPr>
            <w:tcW w:w="389" w:type="pct"/>
            <w:noWrap w:val="0"/>
            <w:vAlign w:val="center"/>
          </w:tcPr>
          <w:p w14:paraId="34ECCA79">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531" w:type="pct"/>
            <w:noWrap w:val="0"/>
            <w:vAlign w:val="center"/>
          </w:tcPr>
          <w:p w14:paraId="6E13F9CA">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51A5C401">
            <w:pPr>
              <w:pStyle w:val="6"/>
              <w:adjustRightInd w:val="0"/>
              <w:snapToGrid w:val="0"/>
              <w:spacing w:before="120" w:line="300" w:lineRule="exact"/>
              <w:jc w:val="center"/>
              <w:rPr>
                <w:rFonts w:ascii="Times New Roman" w:hAnsi="Times New Roman" w:eastAsia="仿宋" w:cs="Times New Roman"/>
                <w:sz w:val="21"/>
                <w:szCs w:val="21"/>
                <w:lang w:val="en-US" w:eastAsia="en-US" w:bidi="en-US"/>
              </w:rPr>
            </w:pPr>
          </w:p>
        </w:tc>
        <w:tc>
          <w:tcPr>
            <w:tcW w:w="447" w:type="pct"/>
            <w:vMerge w:val="continue"/>
            <w:noWrap w:val="0"/>
            <w:vAlign w:val="center"/>
          </w:tcPr>
          <w:p w14:paraId="79200CFE">
            <w:pPr>
              <w:adjustRightInd w:val="0"/>
              <w:snapToGrid w:val="0"/>
              <w:spacing w:line="300" w:lineRule="exact"/>
              <w:jc w:val="center"/>
              <w:rPr>
                <w:rFonts w:eastAsia="仿宋"/>
              </w:rPr>
            </w:pPr>
          </w:p>
        </w:tc>
        <w:tc>
          <w:tcPr>
            <w:tcW w:w="561" w:type="pct"/>
            <w:vMerge w:val="continue"/>
            <w:noWrap w:val="0"/>
            <w:vAlign w:val="top"/>
          </w:tcPr>
          <w:p w14:paraId="64266059">
            <w:pPr>
              <w:adjustRightInd w:val="0"/>
              <w:snapToGrid w:val="0"/>
              <w:spacing w:line="300" w:lineRule="exact"/>
              <w:rPr>
                <w:rFonts w:eastAsia="仿宋"/>
              </w:rPr>
            </w:pPr>
          </w:p>
        </w:tc>
        <w:tc>
          <w:tcPr>
            <w:tcW w:w="1925" w:type="pct"/>
            <w:vMerge w:val="continue"/>
            <w:noWrap w:val="0"/>
            <w:vAlign w:val="top"/>
          </w:tcPr>
          <w:p w14:paraId="24EF3AE0">
            <w:pPr>
              <w:spacing w:line="300" w:lineRule="exact"/>
              <w:rPr>
                <w:rFonts w:eastAsia="仿宋"/>
              </w:rPr>
            </w:pPr>
          </w:p>
        </w:tc>
      </w:tr>
      <w:tr w14:paraId="2B8D5286">
        <w:trPr>
          <w:trHeight w:val="943" w:hRule="atLeast"/>
          <w:jc w:val="center"/>
        </w:trPr>
        <w:tc>
          <w:tcPr>
            <w:tcW w:w="730" w:type="pct"/>
            <w:noWrap w:val="0"/>
            <w:vAlign w:val="center"/>
          </w:tcPr>
          <w:p w14:paraId="42AB5E20">
            <w:pPr>
              <w:pStyle w:val="6"/>
              <w:adjustRightInd w:val="0"/>
              <w:snapToGrid w:val="0"/>
              <w:spacing w:before="120" w:line="300" w:lineRule="exact"/>
              <w:jc w:val="center"/>
              <w:rPr>
                <w:rFonts w:ascii="Times New Roman" w:hAnsi="Times New Roman" w:eastAsia="仿宋" w:cs="Times New Roman"/>
                <w:sz w:val="21"/>
                <w:szCs w:val="21"/>
                <w:lang w:val="en-US" w:eastAsia="zh-CN"/>
              </w:rPr>
            </w:pPr>
            <w:r>
              <w:rPr>
                <w:rFonts w:ascii="Times New Roman" w:hAnsi="Times New Roman" w:eastAsia="仿宋" w:cs="Times New Roman"/>
                <w:sz w:val="21"/>
                <w:szCs w:val="21"/>
              </w:rPr>
              <w:t>&gt;</w:t>
            </w:r>
            <w:r>
              <w:rPr>
                <w:rFonts w:hint="eastAsia" w:ascii="Times New Roman" w:hAnsi="Times New Roman" w:eastAsia="仿宋" w:cs="Times New Roman"/>
                <w:sz w:val="21"/>
                <w:szCs w:val="21"/>
                <w:lang w:val="en-US" w:eastAsia="zh-CN"/>
              </w:rPr>
              <w:t>X万元</w:t>
            </w:r>
          </w:p>
        </w:tc>
        <w:tc>
          <w:tcPr>
            <w:tcW w:w="389" w:type="pct"/>
            <w:noWrap w:val="0"/>
            <w:vAlign w:val="center"/>
          </w:tcPr>
          <w:p w14:paraId="77A5E3E4">
            <w:pPr>
              <w:pStyle w:val="6"/>
              <w:adjustRightInd w:val="0"/>
              <w:snapToGrid w:val="0"/>
              <w:spacing w:before="120"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val="en-US" w:eastAsia="en-US" w:bidi="en-US"/>
              </w:rPr>
              <w:t>X-XX%</w:t>
            </w:r>
          </w:p>
        </w:tc>
        <w:tc>
          <w:tcPr>
            <w:tcW w:w="531" w:type="pct"/>
            <w:noWrap w:val="0"/>
            <w:vAlign w:val="center"/>
          </w:tcPr>
          <w:p w14:paraId="07396288">
            <w:pPr>
              <w:pStyle w:val="6"/>
              <w:adjustRightInd w:val="0"/>
              <w:snapToGrid w:val="0"/>
              <w:spacing w:before="120"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lang w:val="en-US" w:eastAsia="en-US" w:bidi="en-US"/>
              </w:rPr>
              <w:t>X-XX%</w:t>
            </w:r>
          </w:p>
        </w:tc>
        <w:tc>
          <w:tcPr>
            <w:tcW w:w="414" w:type="pct"/>
            <w:vMerge w:val="continue"/>
            <w:noWrap w:val="0"/>
            <w:vAlign w:val="center"/>
          </w:tcPr>
          <w:p w14:paraId="7FC94AE2">
            <w:pPr>
              <w:pStyle w:val="6"/>
              <w:adjustRightInd w:val="0"/>
              <w:snapToGrid w:val="0"/>
              <w:spacing w:before="120" w:line="300" w:lineRule="exact"/>
              <w:jc w:val="center"/>
              <w:rPr>
                <w:rFonts w:ascii="Times New Roman" w:hAnsi="Times New Roman" w:eastAsia="仿宋" w:cs="Times New Roman"/>
                <w:sz w:val="21"/>
                <w:szCs w:val="21"/>
                <w:lang w:eastAsia="zh-CN"/>
              </w:rPr>
            </w:pPr>
          </w:p>
        </w:tc>
        <w:tc>
          <w:tcPr>
            <w:tcW w:w="447" w:type="pct"/>
            <w:vMerge w:val="continue"/>
            <w:noWrap w:val="0"/>
            <w:vAlign w:val="center"/>
          </w:tcPr>
          <w:p w14:paraId="278F8A76">
            <w:pPr>
              <w:pStyle w:val="6"/>
              <w:adjustRightInd w:val="0"/>
              <w:snapToGrid w:val="0"/>
              <w:spacing w:before="120" w:line="300" w:lineRule="exact"/>
              <w:jc w:val="center"/>
              <w:rPr>
                <w:rFonts w:ascii="Times New Roman" w:hAnsi="Times New Roman" w:eastAsia="仿宋" w:cs="Times New Roman"/>
                <w:sz w:val="21"/>
                <w:szCs w:val="21"/>
                <w:lang w:eastAsia="zh-CN"/>
              </w:rPr>
            </w:pPr>
          </w:p>
        </w:tc>
        <w:tc>
          <w:tcPr>
            <w:tcW w:w="561" w:type="pct"/>
            <w:vMerge w:val="continue"/>
            <w:noWrap w:val="0"/>
            <w:vAlign w:val="top"/>
          </w:tcPr>
          <w:p w14:paraId="19A5E47F">
            <w:pPr>
              <w:pStyle w:val="6"/>
              <w:adjustRightInd w:val="0"/>
              <w:snapToGrid w:val="0"/>
              <w:spacing w:before="120" w:line="300" w:lineRule="exact"/>
              <w:jc w:val="center"/>
              <w:rPr>
                <w:rFonts w:ascii="Times New Roman" w:hAnsi="Times New Roman" w:eastAsia="仿宋" w:cs="Times New Roman"/>
                <w:sz w:val="21"/>
                <w:szCs w:val="21"/>
                <w:lang w:eastAsia="zh-CN"/>
              </w:rPr>
            </w:pPr>
          </w:p>
        </w:tc>
        <w:tc>
          <w:tcPr>
            <w:tcW w:w="1925" w:type="pct"/>
            <w:vMerge w:val="continue"/>
            <w:noWrap w:val="0"/>
            <w:vAlign w:val="top"/>
          </w:tcPr>
          <w:p w14:paraId="25EA0155">
            <w:pPr>
              <w:pStyle w:val="6"/>
              <w:adjustRightInd w:val="0"/>
              <w:snapToGrid w:val="0"/>
              <w:spacing w:before="120" w:line="300" w:lineRule="exact"/>
              <w:jc w:val="center"/>
              <w:rPr>
                <w:rFonts w:ascii="Times New Roman" w:hAnsi="Times New Roman" w:eastAsia="仿宋" w:cs="Times New Roman"/>
                <w:sz w:val="21"/>
                <w:szCs w:val="21"/>
                <w:lang w:eastAsia="zh-CN"/>
              </w:rPr>
            </w:pPr>
          </w:p>
        </w:tc>
      </w:tr>
      <w:tr w14:paraId="24C4E9CB">
        <w:trPr>
          <w:trHeight w:val="678" w:hRule="atLeast"/>
          <w:jc w:val="center"/>
        </w:trPr>
        <w:tc>
          <w:tcPr>
            <w:tcW w:w="3074" w:type="pct"/>
            <w:gridSpan w:val="6"/>
            <w:noWrap w:val="0"/>
            <w:vAlign w:val="center"/>
          </w:tcPr>
          <w:p w14:paraId="53E91445">
            <w:pPr>
              <w:adjustRightInd w:val="0"/>
              <w:snapToGrid w:val="0"/>
              <w:rPr>
                <w:rFonts w:eastAsia="仿宋"/>
              </w:rPr>
            </w:pPr>
            <w:r>
              <w:rPr>
                <w:rFonts w:eastAsia="仿宋"/>
              </w:rPr>
              <w:t>（</w:t>
            </w:r>
            <w:r>
              <w:rPr>
                <w:rFonts w:hint="eastAsia" w:eastAsia="仿宋"/>
              </w:rPr>
              <w:t>二）重大、疑难、复杂案件可以高于简单案件收费标准。</w:t>
            </w:r>
          </w:p>
        </w:tc>
        <w:tc>
          <w:tcPr>
            <w:tcW w:w="1925" w:type="pct"/>
            <w:vMerge w:val="continue"/>
            <w:noWrap w:val="0"/>
            <w:vAlign w:val="top"/>
          </w:tcPr>
          <w:p w14:paraId="5F5391C9">
            <w:pPr>
              <w:spacing w:line="300" w:lineRule="exact"/>
              <w:rPr>
                <w:rFonts w:eastAsia="仿宋"/>
              </w:rPr>
            </w:pPr>
          </w:p>
        </w:tc>
      </w:tr>
    </w:tbl>
    <w:p w14:paraId="1EB6684E">
      <w:pPr>
        <w:spacing w:line="300" w:lineRule="exact"/>
        <w:rPr>
          <w:rFonts w:eastAsia="仿宋"/>
          <w:b/>
          <w:bCs/>
          <w:lang w:eastAsia="zh-Hans"/>
        </w:rPr>
      </w:pPr>
    </w:p>
    <w:p w14:paraId="0428860E">
      <w:pPr>
        <w:spacing w:line="300" w:lineRule="exact"/>
        <w:rPr>
          <w:rFonts w:ascii="黑体" w:hAnsi="黑体" w:eastAsia="黑体" w:cs="黑体"/>
        </w:rPr>
      </w:pPr>
      <w:r>
        <w:rPr>
          <w:rFonts w:hint="eastAsia" w:ascii="黑体" w:hAnsi="黑体" w:eastAsia="黑体" w:cs="黑体"/>
          <w:lang w:eastAsia="zh-Hans"/>
        </w:rPr>
        <w:t>三、</w:t>
      </w:r>
      <w:r>
        <w:rPr>
          <w:rFonts w:hint="eastAsia" w:ascii="黑体" w:hAnsi="黑体" w:eastAsia="黑体" w:cs="黑体"/>
        </w:rPr>
        <w:t>法律顾问服务</w:t>
      </w:r>
    </w:p>
    <w:tbl>
      <w:tblPr>
        <w:tblStyle w:val="3"/>
        <w:tblW w:w="9218" w:type="dxa"/>
        <w:jc w:val="center"/>
        <w:tblLayout w:type="fixed"/>
        <w:tblCellMar>
          <w:top w:w="0" w:type="dxa"/>
          <w:left w:w="10" w:type="dxa"/>
          <w:bottom w:w="0" w:type="dxa"/>
          <w:right w:w="10" w:type="dxa"/>
        </w:tblCellMar>
      </w:tblPr>
      <w:tblGrid>
        <w:gridCol w:w="3339"/>
        <w:gridCol w:w="1710"/>
        <w:gridCol w:w="4169"/>
      </w:tblGrid>
      <w:tr w14:paraId="236E435A">
        <w:trPr>
          <w:trHeight w:val="343"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6AECED62">
            <w:pPr>
              <w:adjustRightInd w:val="0"/>
              <w:snapToGrid w:val="0"/>
              <w:spacing w:line="280" w:lineRule="exact"/>
              <w:jc w:val="center"/>
              <w:rPr>
                <w:rFonts w:eastAsia="仿宋"/>
              </w:rPr>
            </w:pPr>
            <w:r>
              <w:rPr>
                <w:rFonts w:hint="eastAsia" w:eastAsia="仿宋"/>
              </w:rPr>
              <w:t>聘请方</w:t>
            </w:r>
          </w:p>
        </w:tc>
        <w:tc>
          <w:tcPr>
            <w:tcW w:w="1710" w:type="dxa"/>
            <w:tcBorders>
              <w:top w:val="single" w:color="auto" w:sz="4" w:space="0"/>
              <w:left w:val="single" w:color="auto" w:sz="4" w:space="0"/>
              <w:bottom w:val="single" w:color="auto" w:sz="4" w:space="0"/>
            </w:tcBorders>
            <w:shd w:val="clear" w:color="auto" w:fill="FFFFFF"/>
            <w:noWrap w:val="0"/>
            <w:vAlign w:val="center"/>
          </w:tcPr>
          <w:p w14:paraId="135AB793">
            <w:pPr>
              <w:adjustRightInd w:val="0"/>
              <w:snapToGrid w:val="0"/>
              <w:spacing w:line="280" w:lineRule="exact"/>
              <w:jc w:val="center"/>
              <w:rPr>
                <w:rFonts w:eastAsia="仿宋"/>
                <w:lang w:eastAsia="zh-Hans"/>
              </w:rPr>
            </w:pPr>
            <w:r>
              <w:rPr>
                <w:rFonts w:hint="eastAsia" w:eastAsia="仿宋"/>
              </w:rPr>
              <w:t>法律顾问费</w:t>
            </w:r>
            <w:r>
              <w:rPr>
                <w:rFonts w:eastAsia="仿宋"/>
              </w:rPr>
              <w:t>/</w:t>
            </w:r>
            <w:r>
              <w:rPr>
                <w:rFonts w:hint="eastAsia" w:eastAsia="仿宋"/>
                <w:lang w:eastAsia="zh-Hans"/>
              </w:rPr>
              <w:t>年</w:t>
            </w:r>
          </w:p>
        </w:tc>
        <w:tc>
          <w:tcPr>
            <w:tcW w:w="41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F881BE">
            <w:pPr>
              <w:spacing w:line="280" w:lineRule="exact"/>
              <w:jc w:val="center"/>
              <w:rPr>
                <w:rFonts w:eastAsia="仿宋"/>
              </w:rPr>
            </w:pPr>
            <w:r>
              <w:rPr>
                <w:rFonts w:hint="eastAsia" w:eastAsia="仿宋"/>
              </w:rPr>
              <w:t>收费说明</w:t>
            </w:r>
          </w:p>
        </w:tc>
      </w:tr>
      <w:tr w14:paraId="4294E554">
        <w:trPr>
          <w:trHeight w:val="738"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7AF21A5A">
            <w:pPr>
              <w:adjustRightInd w:val="0"/>
              <w:snapToGrid w:val="0"/>
              <w:spacing w:line="280" w:lineRule="exact"/>
              <w:rPr>
                <w:rFonts w:eastAsia="仿宋"/>
              </w:rPr>
            </w:pPr>
            <w:r>
              <w:rPr>
                <w:rFonts w:eastAsia="仿宋"/>
              </w:rPr>
              <w:t>1.</w:t>
            </w:r>
            <w:r>
              <w:rPr>
                <w:rFonts w:hint="eastAsia" w:eastAsia="仿宋"/>
              </w:rPr>
              <w:t>自然人（个人、个体工商户）</w:t>
            </w:r>
          </w:p>
        </w:tc>
        <w:tc>
          <w:tcPr>
            <w:tcW w:w="1710" w:type="dxa"/>
            <w:tcBorders>
              <w:top w:val="single" w:color="auto" w:sz="4" w:space="0"/>
              <w:left w:val="single" w:color="auto" w:sz="4" w:space="0"/>
              <w:bottom w:val="single" w:color="auto" w:sz="4" w:space="0"/>
            </w:tcBorders>
            <w:shd w:val="clear" w:color="auto" w:fill="FFFFFF"/>
            <w:noWrap w:val="0"/>
            <w:vAlign w:val="center"/>
          </w:tcPr>
          <w:p w14:paraId="7786F3A8">
            <w:pPr>
              <w:adjustRightInd w:val="0"/>
              <w:snapToGrid w:val="0"/>
              <w:spacing w:line="280" w:lineRule="exact"/>
              <w:jc w:val="center"/>
              <w:rPr>
                <w:rFonts w:eastAsia="仿宋"/>
              </w:rPr>
            </w:pPr>
            <w:r>
              <w:rPr>
                <w:rFonts w:eastAsia="仿宋"/>
              </w:rPr>
              <w:t>XXX</w:t>
            </w:r>
            <w:r>
              <w:rPr>
                <w:rFonts w:hint="eastAsia" w:eastAsia="仿宋"/>
              </w:rPr>
              <w:t>元起</w:t>
            </w:r>
          </w:p>
        </w:tc>
        <w:tc>
          <w:tcPr>
            <w:tcW w:w="4169" w:type="dxa"/>
            <w:vMerge w:val="restart"/>
            <w:tcBorders>
              <w:top w:val="single" w:color="auto" w:sz="4" w:space="0"/>
              <w:left w:val="single" w:color="auto" w:sz="4" w:space="0"/>
              <w:right w:val="single" w:color="auto" w:sz="4" w:space="0"/>
            </w:tcBorders>
            <w:shd w:val="clear" w:color="auto" w:fill="FFFFFF"/>
            <w:noWrap w:val="0"/>
            <w:vAlign w:val="center"/>
          </w:tcPr>
          <w:p w14:paraId="33D82475">
            <w:pPr>
              <w:adjustRightInd w:val="0"/>
              <w:snapToGrid w:val="0"/>
              <w:spacing w:line="280" w:lineRule="exact"/>
              <w:rPr>
                <w:rFonts w:eastAsia="仿宋"/>
              </w:rPr>
            </w:pPr>
            <w:r>
              <w:rPr>
                <w:rFonts w:hint="eastAsia" w:eastAsia="仿宋"/>
              </w:rPr>
              <w:t>（</w:t>
            </w:r>
            <w:r>
              <w:rPr>
                <w:rFonts w:eastAsia="仿宋"/>
              </w:rPr>
              <w:t>1</w:t>
            </w:r>
            <w:r>
              <w:rPr>
                <w:rFonts w:hint="eastAsia" w:eastAsia="仿宋"/>
              </w:rPr>
              <w:t>）聘请方所属子公司、控股公司、参股公司、关联公司或关联机构等，需一并纳入法律顾问服务范围的，参照第</w:t>
            </w:r>
            <w:r>
              <w:rPr>
                <w:rFonts w:eastAsia="仿宋"/>
              </w:rPr>
              <w:t>5</w:t>
            </w:r>
            <w:r>
              <w:rPr>
                <w:rFonts w:hint="eastAsia" w:eastAsia="仿宋"/>
              </w:rPr>
              <w:t>类聘请方标准收费。</w:t>
            </w:r>
          </w:p>
          <w:p w14:paraId="02D93B3A">
            <w:pPr>
              <w:adjustRightInd w:val="0"/>
              <w:snapToGrid w:val="0"/>
              <w:spacing w:line="280" w:lineRule="exact"/>
              <w:rPr>
                <w:rFonts w:eastAsia="仿宋"/>
              </w:rPr>
            </w:pPr>
            <w:r>
              <w:rPr>
                <w:rFonts w:hint="eastAsia" w:eastAsia="仿宋"/>
              </w:rPr>
              <w:t>（</w:t>
            </w:r>
            <w:r>
              <w:rPr>
                <w:rFonts w:eastAsia="仿宋"/>
              </w:rPr>
              <w:t>2</w:t>
            </w:r>
            <w:r>
              <w:rPr>
                <w:rFonts w:hint="eastAsia" w:eastAsia="仿宋"/>
              </w:rPr>
              <w:t>）聘请方是小微企业、小微合伙组织、民办非企的，参照第</w:t>
            </w:r>
            <w:r>
              <w:rPr>
                <w:rFonts w:eastAsia="仿宋"/>
              </w:rPr>
              <w:t>2</w:t>
            </w:r>
            <w:r>
              <w:rPr>
                <w:rFonts w:hint="eastAsia" w:eastAsia="仿宋"/>
              </w:rPr>
              <w:t>类聘请方标准收费。</w:t>
            </w:r>
          </w:p>
          <w:p w14:paraId="14014A08">
            <w:pPr>
              <w:adjustRightInd w:val="0"/>
              <w:snapToGrid w:val="0"/>
              <w:spacing w:line="280" w:lineRule="exact"/>
              <w:rPr>
                <w:rFonts w:eastAsia="仿宋"/>
              </w:rPr>
            </w:pPr>
            <w:r>
              <w:rPr>
                <w:rFonts w:hint="eastAsia" w:eastAsia="仿宋"/>
              </w:rPr>
              <w:t>（</w:t>
            </w:r>
            <w:r>
              <w:rPr>
                <w:rFonts w:eastAsia="仿宋"/>
              </w:rPr>
              <w:t>3</w:t>
            </w:r>
            <w:r>
              <w:rPr>
                <w:rFonts w:hint="eastAsia" w:eastAsia="仿宋"/>
              </w:rPr>
              <w:t>）就单一法律类型聘请常年法律顾问的，协商确定顾问费。</w:t>
            </w:r>
          </w:p>
          <w:p w14:paraId="1AA444B8">
            <w:pPr>
              <w:adjustRightInd w:val="0"/>
              <w:snapToGrid w:val="0"/>
              <w:spacing w:line="280" w:lineRule="exact"/>
              <w:rPr>
                <w:rFonts w:eastAsia="仿宋"/>
              </w:rPr>
            </w:pPr>
            <w:r>
              <w:rPr>
                <w:rFonts w:hint="eastAsia" w:eastAsia="仿宋"/>
              </w:rPr>
              <w:t>（</w:t>
            </w:r>
            <w:r>
              <w:rPr>
                <w:rFonts w:eastAsia="仿宋"/>
              </w:rPr>
              <w:t>4</w:t>
            </w:r>
            <w:r>
              <w:rPr>
                <w:rFonts w:hint="eastAsia" w:eastAsia="仿宋"/>
              </w:rPr>
              <w:t>）完成特定事务的专项法律顾问，按照非诉讼法律服务协商确定顾问费。</w:t>
            </w:r>
          </w:p>
          <w:p w14:paraId="48E53F74">
            <w:pPr>
              <w:adjustRightInd w:val="0"/>
              <w:snapToGrid w:val="0"/>
              <w:spacing w:line="280" w:lineRule="exact"/>
              <w:rPr>
                <w:rFonts w:eastAsia="仿宋"/>
              </w:rPr>
            </w:pPr>
            <w:r>
              <w:rPr>
                <w:rFonts w:eastAsia="仿宋"/>
              </w:rPr>
              <w:t>（5）</w:t>
            </w:r>
            <w:r>
              <w:rPr>
                <w:rFonts w:hint="eastAsia" w:eastAsia="仿宋"/>
              </w:rPr>
              <w:t>聘请方所涉刑事、民事、仲裁、行政案件代理</w:t>
            </w:r>
            <w:r>
              <w:rPr>
                <w:rFonts w:eastAsia="仿宋"/>
              </w:rPr>
              <w:t>，</w:t>
            </w:r>
            <w:r>
              <w:rPr>
                <w:rFonts w:hint="eastAsia" w:eastAsia="仿宋"/>
              </w:rPr>
              <w:t>以及</w:t>
            </w:r>
            <w:r>
              <w:rPr>
                <w:rFonts w:hint="eastAsia" w:eastAsia="仿宋"/>
                <w:lang w:eastAsia="zh-Hans"/>
              </w:rPr>
              <w:t>重大</w:t>
            </w:r>
            <w:r>
              <w:rPr>
                <w:rFonts w:hint="eastAsia" w:eastAsia="仿宋"/>
              </w:rPr>
              <w:t>非诉讼法律服务</w:t>
            </w:r>
            <w:r>
              <w:rPr>
                <w:rFonts w:eastAsia="仿宋"/>
              </w:rPr>
              <w:t>，</w:t>
            </w:r>
            <w:r>
              <w:rPr>
                <w:rFonts w:hint="eastAsia" w:eastAsia="仿宋"/>
              </w:rPr>
              <w:t>需另行委托并付费，法律顾问合同另有约定的除外</w:t>
            </w:r>
            <w:r>
              <w:rPr>
                <w:rFonts w:eastAsia="仿宋"/>
              </w:rPr>
              <w:t>。</w:t>
            </w:r>
          </w:p>
          <w:p w14:paraId="1C8F3467">
            <w:pPr>
              <w:adjustRightInd w:val="0"/>
              <w:snapToGrid w:val="0"/>
              <w:spacing w:line="280" w:lineRule="exact"/>
              <w:rPr>
                <w:rFonts w:eastAsia="仿宋"/>
              </w:rPr>
            </w:pPr>
            <w:r>
              <w:rPr>
                <w:rFonts w:eastAsia="仿宋"/>
              </w:rPr>
              <w:t>（6）</w:t>
            </w:r>
            <w:r>
              <w:rPr>
                <w:rFonts w:hint="eastAsia" w:eastAsia="仿宋"/>
              </w:rPr>
              <w:t>聘请方另行付费的法律服务，一般情况下可以给予优惠，特殊情况可以另行协商</w:t>
            </w:r>
            <w:r>
              <w:rPr>
                <w:rFonts w:eastAsia="仿宋"/>
              </w:rPr>
              <w:t>。</w:t>
            </w:r>
          </w:p>
        </w:tc>
      </w:tr>
      <w:tr w14:paraId="64EF8ED9">
        <w:trPr>
          <w:trHeight w:val="90" w:hRule="atLeast"/>
          <w:jc w:val="center"/>
        </w:trPr>
        <w:tc>
          <w:tcPr>
            <w:tcW w:w="3339" w:type="dxa"/>
            <w:tcBorders>
              <w:top w:val="single" w:color="auto" w:sz="4" w:space="0"/>
              <w:left w:val="single" w:color="auto" w:sz="4" w:space="0"/>
            </w:tcBorders>
            <w:shd w:val="clear" w:color="auto" w:fill="FFFFFF"/>
            <w:noWrap w:val="0"/>
            <w:vAlign w:val="center"/>
          </w:tcPr>
          <w:p w14:paraId="6286CB11">
            <w:pPr>
              <w:adjustRightInd w:val="0"/>
              <w:snapToGrid w:val="0"/>
              <w:spacing w:line="280" w:lineRule="exact"/>
              <w:rPr>
                <w:rFonts w:eastAsia="仿宋"/>
              </w:rPr>
            </w:pPr>
            <w:r>
              <w:rPr>
                <w:rFonts w:eastAsia="仿宋"/>
              </w:rPr>
              <w:t>2.</w:t>
            </w:r>
            <w:r>
              <w:rPr>
                <w:rFonts w:hint="eastAsia" w:eastAsia="仿宋"/>
              </w:rPr>
              <w:t>营利法人（公司、企业等）</w:t>
            </w:r>
          </w:p>
        </w:tc>
        <w:tc>
          <w:tcPr>
            <w:tcW w:w="1710" w:type="dxa"/>
            <w:tcBorders>
              <w:top w:val="single" w:color="auto" w:sz="4" w:space="0"/>
              <w:left w:val="single" w:color="auto" w:sz="4" w:space="0"/>
            </w:tcBorders>
            <w:shd w:val="clear" w:color="auto" w:fill="FFFFFF"/>
            <w:noWrap w:val="0"/>
            <w:vAlign w:val="center"/>
          </w:tcPr>
          <w:p w14:paraId="15F4C48B">
            <w:pPr>
              <w:adjustRightInd w:val="0"/>
              <w:snapToGrid w:val="0"/>
              <w:spacing w:line="280" w:lineRule="exact"/>
              <w:jc w:val="center"/>
              <w:rPr>
                <w:rFonts w:eastAsia="仿宋"/>
              </w:rPr>
            </w:pPr>
            <w:r>
              <w:rPr>
                <w:rFonts w:eastAsia="仿宋"/>
              </w:rPr>
              <w:t>XXX</w:t>
            </w:r>
            <w:r>
              <w:rPr>
                <w:rFonts w:hint="eastAsia" w:eastAsia="仿宋"/>
                <w:lang w:eastAsia="zh-Hans"/>
              </w:rPr>
              <w:t>元</w:t>
            </w:r>
            <w:r>
              <w:rPr>
                <w:rFonts w:hint="eastAsia" w:eastAsia="仿宋"/>
              </w:rPr>
              <w:t>起</w:t>
            </w:r>
          </w:p>
        </w:tc>
        <w:tc>
          <w:tcPr>
            <w:tcW w:w="4169" w:type="dxa"/>
            <w:vMerge w:val="continue"/>
            <w:tcBorders>
              <w:left w:val="single" w:color="auto" w:sz="4" w:space="0"/>
              <w:right w:val="single" w:color="auto" w:sz="4" w:space="0"/>
            </w:tcBorders>
            <w:shd w:val="clear" w:color="auto" w:fill="FFFFFF"/>
            <w:noWrap w:val="0"/>
            <w:vAlign w:val="bottom"/>
          </w:tcPr>
          <w:p w14:paraId="1B04E1C9">
            <w:pPr>
              <w:spacing w:line="280" w:lineRule="exact"/>
              <w:rPr>
                <w:rFonts w:eastAsia="仿宋"/>
              </w:rPr>
            </w:pPr>
          </w:p>
        </w:tc>
      </w:tr>
      <w:tr w14:paraId="4DF7B646">
        <w:trPr>
          <w:trHeight w:val="738" w:hRule="atLeast"/>
          <w:jc w:val="center"/>
        </w:trPr>
        <w:tc>
          <w:tcPr>
            <w:tcW w:w="3339" w:type="dxa"/>
            <w:tcBorders>
              <w:top w:val="single" w:color="auto" w:sz="4" w:space="0"/>
              <w:left w:val="single" w:color="auto" w:sz="4" w:space="0"/>
            </w:tcBorders>
            <w:shd w:val="clear" w:color="auto" w:fill="FFFFFF"/>
            <w:noWrap w:val="0"/>
            <w:vAlign w:val="center"/>
          </w:tcPr>
          <w:p w14:paraId="0A511F98">
            <w:pPr>
              <w:adjustRightInd w:val="0"/>
              <w:snapToGrid w:val="0"/>
              <w:spacing w:line="280" w:lineRule="exact"/>
              <w:rPr>
                <w:rFonts w:eastAsia="仿宋"/>
              </w:rPr>
            </w:pPr>
            <w:r>
              <w:rPr>
                <w:rFonts w:eastAsia="仿宋"/>
              </w:rPr>
              <w:t>3.</w:t>
            </w:r>
            <w:r>
              <w:rPr>
                <w:rFonts w:hint="eastAsia" w:eastAsia="仿宋"/>
              </w:rPr>
              <w:t>非营利法人（事业单位</w:t>
            </w:r>
            <w:r>
              <w:rPr>
                <w:rFonts w:eastAsia="仿宋"/>
              </w:rPr>
              <w:t>、</w:t>
            </w:r>
            <w:r>
              <w:rPr>
                <w:rFonts w:hint="eastAsia" w:eastAsia="仿宋"/>
                <w:lang w:eastAsia="zh-Hans"/>
              </w:rPr>
              <w:t>社会团体</w:t>
            </w:r>
            <w:r>
              <w:rPr>
                <w:rFonts w:hint="eastAsia" w:eastAsia="仿宋"/>
              </w:rPr>
              <w:t>等）</w:t>
            </w:r>
          </w:p>
        </w:tc>
        <w:tc>
          <w:tcPr>
            <w:tcW w:w="1710" w:type="dxa"/>
            <w:tcBorders>
              <w:top w:val="single" w:color="auto" w:sz="4" w:space="0"/>
              <w:left w:val="single" w:color="auto" w:sz="4" w:space="0"/>
            </w:tcBorders>
            <w:shd w:val="clear" w:color="auto" w:fill="FFFFFF"/>
            <w:noWrap w:val="0"/>
            <w:vAlign w:val="center"/>
          </w:tcPr>
          <w:p w14:paraId="65E61968">
            <w:pPr>
              <w:adjustRightInd w:val="0"/>
              <w:snapToGrid w:val="0"/>
              <w:spacing w:line="280" w:lineRule="exact"/>
              <w:jc w:val="center"/>
              <w:rPr>
                <w:rFonts w:eastAsia="仿宋"/>
              </w:rPr>
            </w:pPr>
            <w:r>
              <w:rPr>
                <w:rFonts w:eastAsia="仿宋"/>
              </w:rPr>
              <w:t>XXX</w:t>
            </w:r>
            <w:r>
              <w:rPr>
                <w:rFonts w:hint="eastAsia" w:eastAsia="仿宋"/>
                <w:lang w:eastAsia="zh-Hans"/>
              </w:rPr>
              <w:t>元</w:t>
            </w:r>
            <w:r>
              <w:rPr>
                <w:rFonts w:hint="eastAsia" w:eastAsia="仿宋"/>
              </w:rPr>
              <w:t>起</w:t>
            </w:r>
          </w:p>
        </w:tc>
        <w:tc>
          <w:tcPr>
            <w:tcW w:w="4169" w:type="dxa"/>
            <w:vMerge w:val="continue"/>
            <w:tcBorders>
              <w:left w:val="single" w:color="auto" w:sz="4" w:space="0"/>
              <w:right w:val="single" w:color="auto" w:sz="4" w:space="0"/>
            </w:tcBorders>
            <w:shd w:val="clear" w:color="auto" w:fill="FFFFFF"/>
            <w:noWrap w:val="0"/>
            <w:vAlign w:val="bottom"/>
          </w:tcPr>
          <w:p w14:paraId="30D2E9F6">
            <w:pPr>
              <w:spacing w:line="280" w:lineRule="exact"/>
              <w:rPr>
                <w:rFonts w:eastAsia="仿宋"/>
              </w:rPr>
            </w:pPr>
          </w:p>
        </w:tc>
      </w:tr>
      <w:tr w14:paraId="4699D4D7">
        <w:trPr>
          <w:trHeight w:val="288"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1D9475DC">
            <w:pPr>
              <w:adjustRightInd w:val="0"/>
              <w:snapToGrid w:val="0"/>
              <w:spacing w:line="280" w:lineRule="exact"/>
              <w:rPr>
                <w:rFonts w:eastAsia="仿宋"/>
              </w:rPr>
            </w:pPr>
            <w:r>
              <w:rPr>
                <w:rFonts w:eastAsia="仿宋"/>
              </w:rPr>
              <w:t>4.</w:t>
            </w:r>
            <w:r>
              <w:rPr>
                <w:rFonts w:hint="eastAsia" w:eastAsia="仿宋"/>
              </w:rPr>
              <w:t>特别法人（</w:t>
            </w:r>
            <w:r>
              <w:rPr>
                <w:rFonts w:hint="eastAsia" w:eastAsia="仿宋"/>
                <w:lang w:eastAsia="zh-Hans"/>
              </w:rPr>
              <w:t>国家</w:t>
            </w:r>
            <w:r>
              <w:rPr>
                <w:rFonts w:hint="eastAsia" w:eastAsia="仿宋"/>
              </w:rPr>
              <w:t>机关等）</w:t>
            </w:r>
          </w:p>
        </w:tc>
        <w:tc>
          <w:tcPr>
            <w:tcW w:w="1710" w:type="dxa"/>
            <w:tcBorders>
              <w:top w:val="single" w:color="auto" w:sz="4" w:space="0"/>
              <w:left w:val="single" w:color="auto" w:sz="4" w:space="0"/>
              <w:bottom w:val="single" w:color="auto" w:sz="4" w:space="0"/>
            </w:tcBorders>
            <w:shd w:val="clear" w:color="auto" w:fill="FFFFFF"/>
            <w:noWrap w:val="0"/>
            <w:vAlign w:val="center"/>
          </w:tcPr>
          <w:p w14:paraId="4CC34A7E">
            <w:pPr>
              <w:adjustRightInd w:val="0"/>
              <w:snapToGrid w:val="0"/>
              <w:spacing w:line="280" w:lineRule="exact"/>
              <w:jc w:val="center"/>
              <w:rPr>
                <w:rFonts w:eastAsia="仿宋"/>
              </w:rPr>
            </w:pPr>
            <w:r>
              <w:rPr>
                <w:rFonts w:eastAsia="仿宋"/>
              </w:rPr>
              <w:t>XXX</w:t>
            </w:r>
            <w:r>
              <w:rPr>
                <w:rFonts w:hint="eastAsia" w:eastAsia="仿宋"/>
                <w:lang w:eastAsia="zh-Hans"/>
              </w:rPr>
              <w:t>元</w:t>
            </w:r>
            <w:r>
              <w:rPr>
                <w:rFonts w:hint="eastAsia" w:eastAsia="仿宋"/>
              </w:rPr>
              <w:t>起</w:t>
            </w:r>
          </w:p>
        </w:tc>
        <w:tc>
          <w:tcPr>
            <w:tcW w:w="4169" w:type="dxa"/>
            <w:vMerge w:val="continue"/>
            <w:tcBorders>
              <w:left w:val="single" w:color="auto" w:sz="4" w:space="0"/>
              <w:right w:val="single" w:color="auto" w:sz="4" w:space="0"/>
            </w:tcBorders>
            <w:shd w:val="clear" w:color="auto" w:fill="FFFFFF"/>
            <w:noWrap w:val="0"/>
            <w:vAlign w:val="bottom"/>
          </w:tcPr>
          <w:p w14:paraId="75B192C7">
            <w:pPr>
              <w:spacing w:line="280" w:lineRule="exact"/>
              <w:rPr>
                <w:rFonts w:eastAsia="仿宋"/>
              </w:rPr>
            </w:pPr>
          </w:p>
        </w:tc>
      </w:tr>
      <w:tr w14:paraId="09C0C029">
        <w:trPr>
          <w:trHeight w:val="379"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109628ED">
            <w:pPr>
              <w:adjustRightInd w:val="0"/>
              <w:snapToGrid w:val="0"/>
              <w:spacing w:line="280" w:lineRule="exact"/>
              <w:rPr>
                <w:rFonts w:eastAsia="仿宋"/>
              </w:rPr>
            </w:pPr>
            <w:r>
              <w:rPr>
                <w:rFonts w:eastAsia="仿宋"/>
              </w:rPr>
              <w:t>5.</w:t>
            </w:r>
            <w:r>
              <w:rPr>
                <w:rFonts w:eastAsia="华文仿宋"/>
              </w:rPr>
              <w:t>集团型企事业单位</w:t>
            </w:r>
          </w:p>
        </w:tc>
        <w:tc>
          <w:tcPr>
            <w:tcW w:w="1710" w:type="dxa"/>
            <w:tcBorders>
              <w:top w:val="single" w:color="auto" w:sz="4" w:space="0"/>
              <w:left w:val="single" w:color="auto" w:sz="4" w:space="0"/>
              <w:bottom w:val="single" w:color="auto" w:sz="4" w:space="0"/>
            </w:tcBorders>
            <w:shd w:val="clear" w:color="auto" w:fill="FFFFFF"/>
            <w:noWrap w:val="0"/>
            <w:vAlign w:val="center"/>
          </w:tcPr>
          <w:p w14:paraId="0B36F2AC">
            <w:pPr>
              <w:adjustRightInd w:val="0"/>
              <w:snapToGrid w:val="0"/>
              <w:spacing w:line="280" w:lineRule="exact"/>
              <w:jc w:val="center"/>
              <w:rPr>
                <w:rFonts w:eastAsia="仿宋"/>
              </w:rPr>
            </w:pPr>
            <w:r>
              <w:rPr>
                <w:rFonts w:eastAsia="仿宋"/>
              </w:rPr>
              <w:t>XXX</w:t>
            </w:r>
            <w:r>
              <w:rPr>
                <w:rFonts w:hint="eastAsia" w:eastAsia="仿宋"/>
                <w:lang w:eastAsia="zh-Hans"/>
              </w:rPr>
              <w:t>元</w:t>
            </w:r>
            <w:r>
              <w:rPr>
                <w:rFonts w:hint="eastAsia" w:eastAsia="仿宋"/>
              </w:rPr>
              <w:t>起</w:t>
            </w:r>
          </w:p>
        </w:tc>
        <w:tc>
          <w:tcPr>
            <w:tcW w:w="4169" w:type="dxa"/>
            <w:vMerge w:val="continue"/>
            <w:tcBorders>
              <w:left w:val="single" w:color="auto" w:sz="4" w:space="0"/>
              <w:right w:val="single" w:color="auto" w:sz="4" w:space="0"/>
            </w:tcBorders>
            <w:shd w:val="clear" w:color="auto" w:fill="FFFFFF"/>
            <w:noWrap w:val="0"/>
            <w:vAlign w:val="bottom"/>
          </w:tcPr>
          <w:p w14:paraId="277E8120">
            <w:pPr>
              <w:spacing w:line="280" w:lineRule="exact"/>
              <w:rPr>
                <w:rFonts w:eastAsia="仿宋"/>
              </w:rPr>
            </w:pPr>
          </w:p>
        </w:tc>
      </w:tr>
      <w:tr w14:paraId="7FF79FC7">
        <w:trPr>
          <w:trHeight w:val="747"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044E8EF5">
            <w:pPr>
              <w:adjustRightInd w:val="0"/>
              <w:snapToGrid w:val="0"/>
              <w:spacing w:line="280" w:lineRule="exact"/>
              <w:rPr>
                <w:rFonts w:eastAsia="仿宋"/>
              </w:rPr>
            </w:pPr>
            <w:r>
              <w:rPr>
                <w:rFonts w:eastAsia="仿宋"/>
              </w:rPr>
              <w:t>6.</w:t>
            </w:r>
            <w:r>
              <w:rPr>
                <w:rFonts w:hint="eastAsia" w:eastAsia="仿宋"/>
              </w:rPr>
              <w:t>非法人组织（农村集体经济组织）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09B7A3B9">
            <w:pPr>
              <w:adjustRightInd w:val="0"/>
              <w:snapToGrid w:val="0"/>
              <w:spacing w:line="280" w:lineRule="exact"/>
              <w:jc w:val="center"/>
              <w:rPr>
                <w:rFonts w:eastAsia="仿宋"/>
              </w:rPr>
            </w:pPr>
            <w:r>
              <w:rPr>
                <w:rFonts w:eastAsia="仿宋"/>
              </w:rPr>
              <w:t>XXX</w:t>
            </w:r>
            <w:r>
              <w:rPr>
                <w:rFonts w:hint="eastAsia" w:eastAsia="仿宋"/>
                <w:lang w:eastAsia="zh-Hans"/>
              </w:rPr>
              <w:t>元</w:t>
            </w:r>
            <w:r>
              <w:rPr>
                <w:rFonts w:hint="eastAsia" w:eastAsia="仿宋"/>
              </w:rPr>
              <w:t>起</w:t>
            </w:r>
          </w:p>
        </w:tc>
        <w:tc>
          <w:tcPr>
            <w:tcW w:w="4169" w:type="dxa"/>
            <w:vMerge w:val="continue"/>
            <w:tcBorders>
              <w:left w:val="single" w:color="auto" w:sz="4" w:space="0"/>
              <w:right w:val="single" w:color="auto" w:sz="4" w:space="0"/>
            </w:tcBorders>
            <w:shd w:val="clear" w:color="auto" w:fill="FFFFFF"/>
            <w:noWrap w:val="0"/>
            <w:vAlign w:val="bottom"/>
          </w:tcPr>
          <w:p w14:paraId="363C404A">
            <w:pPr>
              <w:spacing w:line="280" w:lineRule="exact"/>
              <w:rPr>
                <w:rFonts w:eastAsia="仿宋"/>
              </w:rPr>
            </w:pPr>
          </w:p>
        </w:tc>
      </w:tr>
      <w:tr w14:paraId="06369397">
        <w:trPr>
          <w:trHeight w:val="255" w:hRule="atLeast"/>
          <w:jc w:val="center"/>
        </w:trPr>
        <w:tc>
          <w:tcPr>
            <w:tcW w:w="3339" w:type="dxa"/>
            <w:tcBorders>
              <w:top w:val="single" w:color="auto" w:sz="4" w:space="0"/>
              <w:left w:val="single" w:color="auto" w:sz="4" w:space="0"/>
              <w:bottom w:val="single" w:color="auto" w:sz="4" w:space="0"/>
            </w:tcBorders>
            <w:shd w:val="clear" w:color="auto" w:fill="FFFFFF"/>
            <w:noWrap w:val="0"/>
            <w:vAlign w:val="center"/>
          </w:tcPr>
          <w:p w14:paraId="68868E45">
            <w:pPr>
              <w:adjustRightInd w:val="0"/>
              <w:snapToGrid w:val="0"/>
              <w:spacing w:line="280" w:lineRule="exact"/>
              <w:rPr>
                <w:rFonts w:eastAsia="仿宋"/>
                <w:lang w:eastAsia="zh-Hans"/>
              </w:rPr>
            </w:pPr>
            <w:r>
              <w:rPr>
                <w:rFonts w:eastAsia="仿宋"/>
              </w:rPr>
              <w:t>7.</w:t>
            </w:r>
            <w:r>
              <w:rPr>
                <w:rFonts w:hint="eastAsia" w:eastAsia="仿宋"/>
                <w:lang w:eastAsia="zh-Hans"/>
              </w:rPr>
              <w:t>其他</w:t>
            </w:r>
          </w:p>
        </w:tc>
        <w:tc>
          <w:tcPr>
            <w:tcW w:w="1710" w:type="dxa"/>
            <w:tcBorders>
              <w:top w:val="single" w:color="auto" w:sz="4" w:space="0"/>
              <w:left w:val="single" w:color="auto" w:sz="4" w:space="0"/>
              <w:bottom w:val="single" w:color="auto" w:sz="4" w:space="0"/>
            </w:tcBorders>
            <w:shd w:val="clear" w:color="auto" w:fill="FFFFFF"/>
            <w:noWrap w:val="0"/>
            <w:vAlign w:val="center"/>
          </w:tcPr>
          <w:p w14:paraId="6B1361E2">
            <w:pPr>
              <w:adjustRightInd w:val="0"/>
              <w:snapToGrid w:val="0"/>
              <w:spacing w:line="280" w:lineRule="exact"/>
              <w:jc w:val="center"/>
              <w:rPr>
                <w:rFonts w:eastAsia="仿宋"/>
                <w:lang w:eastAsia="zh-Hans"/>
              </w:rPr>
            </w:pPr>
            <w:r>
              <w:rPr>
                <w:rFonts w:eastAsia="仿宋"/>
                <w:lang w:eastAsia="zh-Hans"/>
              </w:rPr>
              <w:t>XXX</w:t>
            </w:r>
            <w:r>
              <w:rPr>
                <w:rFonts w:hint="eastAsia" w:eastAsia="仿宋"/>
                <w:lang w:eastAsia="zh-Hans"/>
              </w:rPr>
              <w:t>元起</w:t>
            </w:r>
          </w:p>
        </w:tc>
        <w:tc>
          <w:tcPr>
            <w:tcW w:w="4169" w:type="dxa"/>
            <w:vMerge w:val="continue"/>
            <w:tcBorders>
              <w:left w:val="single" w:color="auto" w:sz="4" w:space="0"/>
              <w:bottom w:val="single" w:color="auto" w:sz="4" w:space="0"/>
              <w:right w:val="single" w:color="auto" w:sz="4" w:space="0"/>
            </w:tcBorders>
            <w:shd w:val="clear" w:color="auto" w:fill="FFFFFF"/>
            <w:noWrap w:val="0"/>
            <w:vAlign w:val="bottom"/>
          </w:tcPr>
          <w:p w14:paraId="7D9674A7">
            <w:pPr>
              <w:spacing w:line="280" w:lineRule="exact"/>
              <w:rPr>
                <w:rFonts w:eastAsia="仿宋"/>
              </w:rPr>
            </w:pPr>
          </w:p>
        </w:tc>
      </w:tr>
    </w:tbl>
    <w:p w14:paraId="792CD1D7">
      <w:pPr>
        <w:rPr>
          <w:rFonts w:ascii="黑体" w:hAnsi="黑体" w:eastAsia="黑体" w:cs="黑体"/>
          <w:lang w:eastAsia="zh-Hans"/>
        </w:rPr>
      </w:pPr>
      <w:r>
        <w:rPr>
          <w:rFonts w:hint="eastAsia" w:ascii="黑体" w:hAnsi="黑体" w:eastAsia="黑体" w:cs="黑体"/>
          <w:lang w:eastAsia="zh-Hans"/>
        </w:rPr>
        <w:t>四、重大、疑难、复杂案件的认定标准</w:t>
      </w:r>
    </w:p>
    <w:tbl>
      <w:tblPr>
        <w:tblStyle w:val="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7998"/>
      </w:tblGrid>
      <w:tr w14:paraId="7AC1A62B">
        <w:trPr>
          <w:jc w:val="center"/>
        </w:trPr>
        <w:tc>
          <w:tcPr>
            <w:tcW w:w="1194" w:type="dxa"/>
            <w:noWrap w:val="0"/>
            <w:vAlign w:val="center"/>
          </w:tcPr>
          <w:p w14:paraId="0A957AA8">
            <w:pPr>
              <w:widowControl/>
              <w:adjustRightInd w:val="0"/>
              <w:snapToGrid w:val="0"/>
              <w:jc w:val="center"/>
              <w:rPr>
                <w:rFonts w:eastAsia="仿宋"/>
                <w:lang w:eastAsia="zh-Hans"/>
              </w:rPr>
            </w:pPr>
            <w:r>
              <w:rPr>
                <w:rFonts w:hint="eastAsia" w:eastAsia="仿宋"/>
                <w:lang w:bidi="ar"/>
              </w:rPr>
              <w:t>认定标准</w:t>
            </w:r>
          </w:p>
        </w:tc>
        <w:tc>
          <w:tcPr>
            <w:tcW w:w="7998" w:type="dxa"/>
            <w:noWrap w:val="0"/>
            <w:vAlign w:val="top"/>
          </w:tcPr>
          <w:p w14:paraId="63FF57C8">
            <w:pPr>
              <w:widowControl/>
              <w:adjustRightInd w:val="0"/>
              <w:snapToGrid w:val="0"/>
              <w:jc w:val="center"/>
              <w:rPr>
                <w:rFonts w:eastAsia="仿宋"/>
                <w:lang w:bidi="ar"/>
              </w:rPr>
            </w:pPr>
            <w:r>
              <w:rPr>
                <w:rFonts w:hint="eastAsia" w:eastAsia="仿宋"/>
                <w:lang w:bidi="ar"/>
              </w:rPr>
              <w:t>有下列情形之一的，视为重大、疑难、复杂诉讼案件</w:t>
            </w:r>
          </w:p>
          <w:p w14:paraId="206736BE">
            <w:pPr>
              <w:widowControl/>
              <w:adjustRightInd w:val="0"/>
              <w:snapToGrid w:val="0"/>
              <w:jc w:val="center"/>
              <w:rPr>
                <w:rFonts w:eastAsia="仿宋"/>
                <w:lang w:eastAsia="zh-Hans"/>
              </w:rPr>
            </w:pPr>
            <w:r>
              <w:rPr>
                <w:rFonts w:hint="eastAsia" w:eastAsia="仿宋"/>
                <w:lang w:bidi="ar"/>
              </w:rPr>
              <w:t>[</w:t>
            </w:r>
            <w:r>
              <w:rPr>
                <w:rFonts w:hint="eastAsia" w:eastAsia="仿宋"/>
              </w:rPr>
              <w:t>参照</w:t>
            </w:r>
            <w:r>
              <w:rPr>
                <w:rFonts w:eastAsia="仿宋"/>
                <w:lang w:eastAsia="zh-Hans"/>
              </w:rPr>
              <w:t>《</w:t>
            </w:r>
            <w:r>
              <w:rPr>
                <w:rFonts w:hint="eastAsia" w:eastAsia="仿宋"/>
                <w:lang w:eastAsia="zh-Hans"/>
              </w:rPr>
              <w:t>江苏省律师服务收费指引</w:t>
            </w:r>
            <w:r>
              <w:rPr>
                <w:rFonts w:eastAsia="仿宋"/>
                <w:lang w:eastAsia="zh-Hans"/>
              </w:rPr>
              <w:t>（</w:t>
            </w:r>
            <w:r>
              <w:rPr>
                <w:rFonts w:hint="eastAsia" w:eastAsia="仿宋"/>
                <w:lang w:eastAsia="zh-Hans"/>
              </w:rPr>
              <w:t>试行</w:t>
            </w:r>
            <w:r>
              <w:rPr>
                <w:rFonts w:eastAsia="仿宋"/>
                <w:lang w:eastAsia="zh-Hans"/>
              </w:rPr>
              <w:t>）</w:t>
            </w:r>
            <w:r>
              <w:rPr>
                <w:rFonts w:hint="eastAsia" w:eastAsia="仿宋"/>
              </w:rPr>
              <w:t>》</w:t>
            </w:r>
            <w:r>
              <w:rPr>
                <w:rFonts w:hint="eastAsia" w:eastAsia="仿宋"/>
                <w:lang w:eastAsia="zh-Hans"/>
              </w:rPr>
              <w:t>（苏律协发〔</w:t>
            </w:r>
            <w:r>
              <w:rPr>
                <w:rFonts w:eastAsia="仿宋"/>
                <w:lang w:eastAsia="zh-Hans"/>
              </w:rPr>
              <w:t>2023</w:t>
            </w:r>
            <w:r>
              <w:rPr>
                <w:rFonts w:hint="eastAsia" w:eastAsia="仿宋"/>
                <w:lang w:eastAsia="zh-Hans"/>
              </w:rPr>
              <w:t>〕</w:t>
            </w:r>
            <w:r>
              <w:rPr>
                <w:rFonts w:eastAsia="仿宋"/>
                <w:lang w:eastAsia="zh-Hans"/>
              </w:rPr>
              <w:t>4</w:t>
            </w:r>
            <w:r>
              <w:rPr>
                <w:rFonts w:hint="eastAsia" w:eastAsia="仿宋"/>
                <w:lang w:eastAsia="zh-Hans"/>
              </w:rPr>
              <w:t>号文）</w:t>
            </w:r>
            <w:r>
              <w:rPr>
                <w:rFonts w:hint="eastAsia" w:eastAsia="仿宋"/>
              </w:rPr>
              <w:t>认定标准</w:t>
            </w:r>
            <w:r>
              <w:rPr>
                <w:rFonts w:hint="eastAsia" w:eastAsia="仿宋"/>
                <w:lang w:bidi="ar"/>
              </w:rPr>
              <w:t>]</w:t>
            </w:r>
          </w:p>
        </w:tc>
      </w:tr>
      <w:tr w14:paraId="61A93660">
        <w:trPr>
          <w:jc w:val="center"/>
        </w:trPr>
        <w:tc>
          <w:tcPr>
            <w:tcW w:w="1194" w:type="dxa"/>
            <w:noWrap w:val="0"/>
            <w:vAlign w:val="center"/>
          </w:tcPr>
          <w:p w14:paraId="20425E04">
            <w:pPr>
              <w:adjustRightInd w:val="0"/>
              <w:snapToGrid w:val="0"/>
              <w:rPr>
                <w:rFonts w:eastAsia="仿宋"/>
                <w:lang w:eastAsia="zh-Hans"/>
              </w:rPr>
            </w:pPr>
            <w:r>
              <w:rPr>
                <w:rFonts w:hint="eastAsia" w:eastAsia="仿宋"/>
                <w:lang w:eastAsia="zh-Hans"/>
              </w:rPr>
              <w:t>通用标准</w:t>
            </w:r>
          </w:p>
        </w:tc>
        <w:tc>
          <w:tcPr>
            <w:tcW w:w="7998" w:type="dxa"/>
            <w:noWrap w:val="0"/>
            <w:vAlign w:val="top"/>
          </w:tcPr>
          <w:p w14:paraId="520AA142">
            <w:pPr>
              <w:adjustRightInd w:val="0"/>
              <w:snapToGrid w:val="0"/>
              <w:rPr>
                <w:rFonts w:eastAsia="仿宋"/>
                <w:lang w:eastAsia="zh-Hans"/>
              </w:rPr>
            </w:pPr>
            <w:r>
              <w:rPr>
                <w:rFonts w:eastAsia="仿宋"/>
                <w:lang w:eastAsia="zh-Hans"/>
              </w:rPr>
              <w:t>1.由中级以上（含中级）人民法院管辖的一审案件</w:t>
            </w:r>
            <w:r>
              <w:rPr>
                <w:rFonts w:hint="eastAsia" w:eastAsia="仿宋"/>
              </w:rPr>
              <w:t>；</w:t>
            </w:r>
            <w:r>
              <w:rPr>
                <w:rFonts w:eastAsia="仿宋"/>
                <w:lang w:eastAsia="zh-Hans"/>
              </w:rPr>
              <w:t xml:space="preserve"> </w:t>
            </w:r>
          </w:p>
          <w:p w14:paraId="03932583">
            <w:pPr>
              <w:adjustRightInd w:val="0"/>
              <w:snapToGrid w:val="0"/>
              <w:rPr>
                <w:rFonts w:eastAsia="仿宋"/>
              </w:rPr>
            </w:pPr>
            <w:r>
              <w:rPr>
                <w:rFonts w:eastAsia="仿宋"/>
                <w:lang w:eastAsia="zh-Hans"/>
              </w:rPr>
              <w:t xml:space="preserve">2.符合法院、检察院、公安、司法行政等机关重大、疑难、复杂案件标准的案件 </w:t>
            </w:r>
            <w:r>
              <w:rPr>
                <w:rFonts w:hint="eastAsia" w:eastAsia="仿宋"/>
              </w:rPr>
              <w:t>；</w:t>
            </w:r>
          </w:p>
          <w:p w14:paraId="65218595">
            <w:pPr>
              <w:adjustRightInd w:val="0"/>
              <w:snapToGrid w:val="0"/>
              <w:rPr>
                <w:rFonts w:eastAsia="仿宋"/>
              </w:rPr>
            </w:pPr>
            <w:r>
              <w:rPr>
                <w:rFonts w:eastAsia="仿宋"/>
                <w:lang w:eastAsia="zh-Hans"/>
              </w:rPr>
              <w:t>3.引起社会普遍关注、具有较大社会影响的案件</w:t>
            </w:r>
            <w:r>
              <w:rPr>
                <w:rFonts w:hint="eastAsia" w:eastAsia="仿宋"/>
              </w:rPr>
              <w:t>；</w:t>
            </w:r>
          </w:p>
          <w:p w14:paraId="5033E8D9">
            <w:pPr>
              <w:adjustRightInd w:val="0"/>
              <w:snapToGrid w:val="0"/>
              <w:rPr>
                <w:rFonts w:eastAsia="仿宋"/>
              </w:rPr>
            </w:pPr>
            <w:r>
              <w:rPr>
                <w:rFonts w:eastAsia="仿宋"/>
                <w:lang w:eastAsia="zh-Hans"/>
              </w:rPr>
              <w:t>4.新类型案件</w:t>
            </w:r>
            <w:r>
              <w:rPr>
                <w:rFonts w:hint="eastAsia" w:eastAsia="仿宋"/>
              </w:rPr>
              <w:t>；</w:t>
            </w:r>
          </w:p>
          <w:p w14:paraId="64DCE14F">
            <w:pPr>
              <w:adjustRightInd w:val="0"/>
              <w:snapToGrid w:val="0"/>
              <w:rPr>
                <w:rFonts w:eastAsia="仿宋"/>
              </w:rPr>
            </w:pPr>
            <w:r>
              <w:rPr>
                <w:rFonts w:eastAsia="仿宋"/>
                <w:lang w:eastAsia="zh-Hans"/>
              </w:rPr>
              <w:t>5.涉外或涉港、澳、台的案件</w:t>
            </w:r>
            <w:r>
              <w:rPr>
                <w:rFonts w:hint="eastAsia" w:eastAsia="仿宋"/>
              </w:rPr>
              <w:t>；</w:t>
            </w:r>
          </w:p>
          <w:p w14:paraId="5912F3C6">
            <w:pPr>
              <w:adjustRightInd w:val="0"/>
              <w:snapToGrid w:val="0"/>
              <w:rPr>
                <w:rFonts w:eastAsia="仿宋"/>
              </w:rPr>
            </w:pPr>
            <w:r>
              <w:rPr>
                <w:rFonts w:eastAsia="仿宋"/>
                <w:lang w:eastAsia="zh-Hans"/>
              </w:rPr>
              <w:t>6.办案机关决定需要其他专业人士参与的案件，</w:t>
            </w:r>
            <w:r>
              <w:rPr>
                <w:rFonts w:hint="eastAsia" w:eastAsia="仿宋"/>
                <w:lang w:eastAsia="zh-Hans"/>
              </w:rPr>
              <w:t>但</w:t>
            </w:r>
            <w:r>
              <w:rPr>
                <w:rFonts w:hint="eastAsia" w:eastAsia="仿宋"/>
              </w:rPr>
              <w:t>是</w:t>
            </w:r>
            <w:r>
              <w:rPr>
                <w:rFonts w:hint="eastAsia" w:eastAsia="仿宋"/>
                <w:lang w:eastAsia="zh-Hans"/>
              </w:rPr>
              <w:t>由一般翻译与鉴定人员参与的简易案件除外</w:t>
            </w:r>
            <w:r>
              <w:rPr>
                <w:rFonts w:hint="eastAsia" w:eastAsia="仿宋"/>
              </w:rPr>
              <w:t>；</w:t>
            </w:r>
          </w:p>
          <w:p w14:paraId="000E749F">
            <w:pPr>
              <w:adjustRightInd w:val="0"/>
              <w:snapToGrid w:val="0"/>
              <w:rPr>
                <w:rFonts w:eastAsia="仿宋"/>
                <w:lang w:eastAsia="zh-Hans"/>
              </w:rPr>
            </w:pPr>
            <w:r>
              <w:rPr>
                <w:rFonts w:eastAsia="仿宋"/>
                <w:lang w:eastAsia="zh-Hans"/>
              </w:rPr>
              <w:t>7.案情复杂、涉及</w:t>
            </w:r>
            <w:r>
              <w:rPr>
                <w:rFonts w:hint="eastAsia" w:eastAsia="仿宋"/>
                <w:lang w:eastAsia="zh-Hans"/>
              </w:rPr>
              <w:t>三</w:t>
            </w:r>
            <w:r>
              <w:rPr>
                <w:rFonts w:eastAsia="仿宋"/>
                <w:lang w:eastAsia="zh-Hans"/>
              </w:rPr>
              <w:t>个以上法律关系的案件</w:t>
            </w:r>
            <w:r>
              <w:rPr>
                <w:rFonts w:hint="eastAsia" w:eastAsia="仿宋"/>
              </w:rPr>
              <w:t>；</w:t>
            </w:r>
            <w:r>
              <w:rPr>
                <w:rFonts w:eastAsia="仿宋"/>
                <w:lang w:eastAsia="zh-Hans"/>
              </w:rPr>
              <w:t xml:space="preserve"> </w:t>
            </w:r>
          </w:p>
          <w:p w14:paraId="346D1277">
            <w:pPr>
              <w:adjustRightInd w:val="0"/>
              <w:snapToGrid w:val="0"/>
              <w:rPr>
                <w:rFonts w:eastAsia="仿宋"/>
                <w:lang w:eastAsia="zh-Hans"/>
              </w:rPr>
            </w:pPr>
            <w:r>
              <w:rPr>
                <w:rFonts w:eastAsia="仿宋"/>
                <w:lang w:eastAsia="zh-Hans"/>
              </w:rPr>
              <w:t>8.异地办理（即在律师事务所所在</w:t>
            </w:r>
            <w:r>
              <w:rPr>
                <w:rFonts w:hint="eastAsia" w:eastAsia="仿宋"/>
                <w:lang w:eastAsia="zh-Hans"/>
              </w:rPr>
              <w:t>设区</w:t>
            </w:r>
            <w:r>
              <w:rPr>
                <w:rFonts w:eastAsia="仿宋"/>
                <w:lang w:eastAsia="zh-Hans"/>
              </w:rPr>
              <w:t>市行政区划以外办理）的非</w:t>
            </w:r>
            <w:r>
              <w:rPr>
                <w:rFonts w:hint="eastAsia" w:eastAsia="仿宋"/>
                <w:lang w:eastAsia="zh-Hans"/>
              </w:rPr>
              <w:t>明显</w:t>
            </w:r>
            <w:r>
              <w:rPr>
                <w:rFonts w:eastAsia="仿宋"/>
                <w:lang w:eastAsia="zh-Hans"/>
              </w:rPr>
              <w:t>简易的案件</w:t>
            </w:r>
            <w:r>
              <w:rPr>
                <w:rFonts w:hint="eastAsia" w:eastAsia="仿宋"/>
              </w:rPr>
              <w:t>；</w:t>
            </w:r>
            <w:r>
              <w:rPr>
                <w:rFonts w:eastAsia="仿宋"/>
                <w:lang w:eastAsia="zh-Hans"/>
              </w:rPr>
              <w:t xml:space="preserve"> </w:t>
            </w:r>
          </w:p>
          <w:p w14:paraId="67247250">
            <w:pPr>
              <w:adjustRightInd w:val="0"/>
              <w:snapToGrid w:val="0"/>
              <w:rPr>
                <w:rFonts w:eastAsia="仿宋"/>
              </w:rPr>
            </w:pPr>
            <w:r>
              <w:rPr>
                <w:rFonts w:eastAsia="仿宋"/>
                <w:lang w:eastAsia="zh-Hans"/>
              </w:rPr>
              <w:t>9.其他由律师事务所与委托人协商一致，经委托人认可的作为重大、疑难、复杂的案件</w:t>
            </w:r>
            <w:r>
              <w:rPr>
                <w:rFonts w:hint="eastAsia" w:eastAsia="仿宋"/>
              </w:rPr>
              <w:t>。</w:t>
            </w:r>
          </w:p>
        </w:tc>
      </w:tr>
    </w:tbl>
    <w:p w14:paraId="237531FE">
      <w:pPr>
        <w:spacing w:line="380" w:lineRule="exact"/>
        <w:jc w:val="left"/>
        <w:rPr>
          <w:rFonts w:eastAsia="仿宋"/>
          <w:b/>
          <w:bCs/>
        </w:rPr>
      </w:pPr>
    </w:p>
    <w:p w14:paraId="72D5099D">
      <w:pPr>
        <w:spacing w:line="380" w:lineRule="exact"/>
        <w:jc w:val="left"/>
        <w:rPr>
          <w:rFonts w:ascii="黑体" w:hAnsi="黑体" w:eastAsia="黑体" w:cs="黑体"/>
        </w:rPr>
      </w:pPr>
      <w:r>
        <w:rPr>
          <w:rFonts w:hint="eastAsia" w:ascii="黑体" w:hAnsi="黑体" w:eastAsia="黑体" w:cs="黑体"/>
        </w:rPr>
        <w:t>五、其他</w:t>
      </w:r>
    </w:p>
    <w:p w14:paraId="28B653D8">
      <w:pPr>
        <w:spacing w:line="380" w:lineRule="exact"/>
        <w:ind w:firstLine="420" w:firstLineChars="200"/>
        <w:rPr>
          <w:rFonts w:eastAsia="仿宋"/>
        </w:rPr>
      </w:pPr>
      <w:r>
        <w:rPr>
          <w:rFonts w:eastAsia="仿宋"/>
        </w:rPr>
        <w:t>1.</w:t>
      </w:r>
      <w:r>
        <w:rPr>
          <w:rFonts w:hint="eastAsia" w:eastAsia="仿宋"/>
        </w:rPr>
        <w:t>本所制定的律师服务费标准不得低于本律师事务所的综合运营成本。</w:t>
      </w:r>
    </w:p>
    <w:p w14:paraId="3C4BA314">
      <w:pPr>
        <w:spacing w:line="380" w:lineRule="exact"/>
        <w:ind w:firstLine="420" w:firstLineChars="200"/>
        <w:rPr>
          <w:rFonts w:eastAsia="仿宋"/>
        </w:rPr>
      </w:pPr>
      <w:r>
        <w:rPr>
          <w:rFonts w:hint="eastAsia" w:eastAsia="仿宋"/>
        </w:rPr>
        <w:t>2.单独代理各类诉讼案件的申诉，按照一审收费标准收费。</w:t>
      </w:r>
    </w:p>
    <w:p w14:paraId="4DF2A7A6">
      <w:pPr>
        <w:spacing w:line="380" w:lineRule="exact"/>
        <w:ind w:firstLine="420" w:firstLineChars="200"/>
        <w:rPr>
          <w:rFonts w:eastAsia="仿宋"/>
        </w:rPr>
      </w:pPr>
      <w:r>
        <w:rPr>
          <w:rFonts w:hint="eastAsia" w:eastAsia="仿宋"/>
        </w:rPr>
        <w:t>3</w:t>
      </w:r>
      <w:r>
        <w:rPr>
          <w:rFonts w:eastAsia="仿宋"/>
        </w:rPr>
        <w:t>.</w:t>
      </w:r>
      <w:r>
        <w:rPr>
          <w:rFonts w:hint="eastAsia" w:eastAsia="仿宋"/>
        </w:rPr>
        <w:t>禁止</w:t>
      </w:r>
      <w:r>
        <w:rPr>
          <w:rFonts w:eastAsia="仿宋"/>
          <w:lang w:eastAsia="zh-Hans"/>
        </w:rPr>
        <w:t>刑事</w:t>
      </w:r>
      <w:r>
        <w:rPr>
          <w:rFonts w:hint="eastAsia" w:eastAsia="仿宋"/>
        </w:rPr>
        <w:t>诉讼</w:t>
      </w:r>
      <w:r>
        <w:rPr>
          <w:rFonts w:eastAsia="仿宋"/>
          <w:lang w:eastAsia="zh-Hans"/>
        </w:rPr>
        <w:t>案件</w:t>
      </w:r>
      <w:r>
        <w:rPr>
          <w:rFonts w:hint="eastAsia" w:eastAsia="仿宋"/>
        </w:rPr>
        <w:t>、</w:t>
      </w:r>
      <w:r>
        <w:rPr>
          <w:rFonts w:eastAsia="仿宋"/>
          <w:lang w:eastAsia="zh-Hans"/>
        </w:rPr>
        <w:t>行政诉讼案件、国家赔偿案件</w:t>
      </w:r>
      <w:r>
        <w:rPr>
          <w:rFonts w:hint="eastAsia" w:eastAsia="仿宋"/>
        </w:rPr>
        <w:t>、</w:t>
      </w:r>
      <w:r>
        <w:rPr>
          <w:rFonts w:eastAsia="仿宋"/>
          <w:lang w:eastAsia="zh-Hans"/>
        </w:rPr>
        <w:t>群体性诉讼案件</w:t>
      </w:r>
      <w:r>
        <w:rPr>
          <w:rFonts w:hint="eastAsia" w:eastAsia="仿宋"/>
        </w:rPr>
        <w:t>、</w:t>
      </w:r>
      <w:r>
        <w:rPr>
          <w:rFonts w:eastAsia="仿宋"/>
          <w:lang w:eastAsia="zh-Hans"/>
        </w:rPr>
        <w:t>婚姻继承案件</w:t>
      </w:r>
      <w:r>
        <w:rPr>
          <w:rFonts w:hint="eastAsia" w:eastAsia="仿宋"/>
        </w:rPr>
        <w:t>，以及</w:t>
      </w:r>
      <w:r>
        <w:rPr>
          <w:rFonts w:eastAsia="仿宋"/>
          <w:lang w:eastAsia="zh-Hans"/>
        </w:rPr>
        <w:t>请求给予社会保险待遇、最低生活保障待遇、赡养费、抚养费、扶养费、抚恤金、救济金、工伤赔偿、劳动报酬</w:t>
      </w:r>
      <w:r>
        <w:rPr>
          <w:rFonts w:hint="eastAsia" w:eastAsia="仿宋"/>
        </w:rPr>
        <w:t>的</w:t>
      </w:r>
      <w:r>
        <w:rPr>
          <w:rFonts w:eastAsia="仿宋"/>
          <w:lang w:eastAsia="zh-Hans"/>
        </w:rPr>
        <w:t>案件</w:t>
      </w:r>
      <w:r>
        <w:rPr>
          <w:rFonts w:hint="eastAsia" w:eastAsia="仿宋"/>
        </w:rPr>
        <w:t>实行或者变相实行风险代理。</w:t>
      </w:r>
    </w:p>
    <w:p w14:paraId="21344390">
      <w:pPr>
        <w:spacing w:line="380" w:lineRule="exact"/>
        <w:ind w:firstLine="420" w:firstLineChars="200"/>
        <w:rPr>
          <w:rFonts w:eastAsia="仿宋"/>
          <w:highlight w:val="yellow"/>
          <w:lang w:eastAsia="zh-Hans"/>
        </w:rPr>
      </w:pPr>
      <w:r>
        <w:rPr>
          <w:rFonts w:hint="eastAsia" w:eastAsia="仿宋"/>
        </w:rPr>
        <w:t>4</w:t>
      </w:r>
      <w:r>
        <w:rPr>
          <w:rFonts w:eastAsia="仿宋"/>
          <w:lang w:eastAsia="zh-Hans"/>
        </w:rPr>
        <w:t>.</w:t>
      </w:r>
      <w:r>
        <w:rPr>
          <w:rFonts w:hint="eastAsia" w:eastAsia="仿宋"/>
          <w:lang w:eastAsia="zh-Hans"/>
        </w:rPr>
        <w:t>按照提供法律服务的合伙人</w:t>
      </w:r>
      <w:r>
        <w:rPr>
          <w:rFonts w:eastAsia="仿宋"/>
          <w:lang w:eastAsia="zh-Hans"/>
        </w:rPr>
        <w:t>、</w:t>
      </w:r>
      <w:r>
        <w:rPr>
          <w:rFonts w:hint="eastAsia" w:eastAsia="仿宋"/>
          <w:lang w:eastAsia="zh-Hans"/>
        </w:rPr>
        <w:t>律师和律师助理不同</w:t>
      </w:r>
      <w:r>
        <w:rPr>
          <w:rFonts w:hint="eastAsia" w:eastAsia="仿宋"/>
        </w:rPr>
        <w:t>身份</w:t>
      </w:r>
      <w:r>
        <w:rPr>
          <w:rFonts w:hint="eastAsia" w:eastAsia="仿宋"/>
          <w:lang w:eastAsia="zh-Hans"/>
        </w:rPr>
        <w:t>级别</w:t>
      </w:r>
      <w:r>
        <w:rPr>
          <w:rFonts w:eastAsia="仿宋"/>
          <w:lang w:eastAsia="zh-Hans"/>
        </w:rPr>
        <w:t>，</w:t>
      </w:r>
      <w:r>
        <w:rPr>
          <w:rFonts w:hint="eastAsia" w:eastAsia="仿宋"/>
          <w:lang w:eastAsia="zh-Hans"/>
        </w:rPr>
        <w:t>计时收费标准分别为</w:t>
      </w:r>
      <w:r>
        <w:rPr>
          <w:rFonts w:eastAsia="仿宋"/>
          <w:lang w:eastAsia="zh-Hans"/>
        </w:rPr>
        <w:t>XXXX-XXXX</w:t>
      </w:r>
      <w:r>
        <w:rPr>
          <w:rFonts w:hint="eastAsia" w:eastAsia="仿宋"/>
          <w:lang w:eastAsia="zh-Hans"/>
        </w:rPr>
        <w:t>元</w:t>
      </w:r>
      <w:r>
        <w:rPr>
          <w:rFonts w:eastAsia="仿宋"/>
          <w:lang w:eastAsia="zh-Hans"/>
        </w:rPr>
        <w:t>/</w:t>
      </w:r>
      <w:r>
        <w:rPr>
          <w:rFonts w:hint="eastAsia" w:eastAsia="仿宋"/>
          <w:lang w:eastAsia="zh-Hans"/>
        </w:rPr>
        <w:t>小时</w:t>
      </w:r>
      <w:r>
        <w:rPr>
          <w:rFonts w:eastAsia="仿宋"/>
          <w:lang w:eastAsia="zh-Hans"/>
        </w:rPr>
        <w:t>、XXX</w:t>
      </w:r>
      <w:r>
        <w:rPr>
          <w:rFonts w:hint="eastAsia" w:eastAsia="仿宋"/>
        </w:rPr>
        <w:t>X</w:t>
      </w:r>
      <w:r>
        <w:rPr>
          <w:rFonts w:eastAsia="仿宋"/>
          <w:lang w:eastAsia="zh-Hans"/>
        </w:rPr>
        <w:t>-XXXX</w:t>
      </w:r>
      <w:r>
        <w:rPr>
          <w:rFonts w:hint="eastAsia" w:eastAsia="仿宋"/>
          <w:lang w:eastAsia="zh-Hans"/>
        </w:rPr>
        <w:t>元</w:t>
      </w:r>
      <w:r>
        <w:rPr>
          <w:rFonts w:eastAsia="仿宋"/>
          <w:lang w:eastAsia="zh-Hans"/>
        </w:rPr>
        <w:t>/</w:t>
      </w:r>
      <w:r>
        <w:rPr>
          <w:rFonts w:hint="eastAsia" w:eastAsia="仿宋"/>
          <w:lang w:eastAsia="zh-Hans"/>
        </w:rPr>
        <w:t>小时和</w:t>
      </w:r>
      <w:r>
        <w:rPr>
          <w:rFonts w:eastAsia="仿宋"/>
          <w:lang w:eastAsia="zh-Hans"/>
        </w:rPr>
        <w:t>XXX-XXXX</w:t>
      </w:r>
      <w:r>
        <w:rPr>
          <w:rFonts w:hint="eastAsia" w:eastAsia="仿宋"/>
          <w:lang w:eastAsia="zh-Hans"/>
        </w:rPr>
        <w:t>元</w:t>
      </w:r>
      <w:r>
        <w:rPr>
          <w:rFonts w:eastAsia="仿宋"/>
          <w:lang w:eastAsia="zh-Hans"/>
        </w:rPr>
        <w:t>/</w:t>
      </w:r>
      <w:r>
        <w:rPr>
          <w:rFonts w:hint="eastAsia" w:eastAsia="仿宋"/>
          <w:lang w:eastAsia="zh-Hans"/>
        </w:rPr>
        <w:t>小时</w:t>
      </w:r>
      <w:r>
        <w:rPr>
          <w:rFonts w:eastAsia="仿宋"/>
          <w:lang w:eastAsia="zh-Hans"/>
        </w:rPr>
        <w:t>。</w:t>
      </w:r>
    </w:p>
    <w:p w14:paraId="2C804E39">
      <w:pPr>
        <w:spacing w:line="380" w:lineRule="exact"/>
        <w:ind w:firstLine="420" w:firstLineChars="200"/>
        <w:rPr>
          <w:rFonts w:eastAsia="仿宋"/>
        </w:rPr>
      </w:pPr>
      <w:r>
        <w:rPr>
          <w:rFonts w:hint="eastAsia" w:eastAsia="仿宋"/>
        </w:rPr>
        <w:t>5</w:t>
      </w:r>
      <w:r>
        <w:rPr>
          <w:rFonts w:eastAsia="仿宋"/>
        </w:rPr>
        <w:t>.</w:t>
      </w:r>
      <w:r>
        <w:rPr>
          <w:rFonts w:hint="eastAsia" w:eastAsia="仿宋"/>
        </w:rPr>
        <w:t>委托人办理涉外或涉港、澳、台法律事务，律师事务所可参照外国或港、澳、台地区驻我国代表机构办理同类法律事务的律师服务收费标准，与委托人协商确定收费数额。</w:t>
      </w:r>
    </w:p>
    <w:p w14:paraId="70A49B60">
      <w:pPr>
        <w:pStyle w:val="7"/>
        <w:spacing w:line="380" w:lineRule="exact"/>
        <w:ind w:firstLine="420" w:firstLineChars="200"/>
        <w:rPr>
          <w:rFonts w:eastAsia="仿宋"/>
          <w:sz w:val="21"/>
          <w:szCs w:val="21"/>
          <w:lang w:val="en-US" w:eastAsia="zh-CN" w:bidi="ar-SA"/>
        </w:rPr>
      </w:pPr>
      <w:r>
        <w:rPr>
          <w:rFonts w:hint="eastAsia" w:eastAsia="仿宋"/>
          <w:sz w:val="21"/>
          <w:szCs w:val="21"/>
          <w:lang w:val="en-US" w:eastAsia="zh-CN" w:bidi="ar-SA"/>
        </w:rPr>
        <w:t>6.担任破产管理人案件的收费标准，应当符合《最高人民法院关于审理企业破产案件确定管理人报酬的规定》以及各地人民法院的相关规定。</w:t>
      </w:r>
    </w:p>
    <w:p w14:paraId="3AF3AC01">
      <w:pPr>
        <w:spacing w:line="380" w:lineRule="exact"/>
        <w:ind w:firstLine="420" w:firstLineChars="200"/>
        <w:rPr>
          <w:rFonts w:eastAsia="仿宋"/>
        </w:rPr>
      </w:pPr>
      <w:r>
        <w:rPr>
          <w:rFonts w:hint="eastAsia" w:eastAsia="仿宋"/>
        </w:rPr>
        <w:t>7</w:t>
      </w:r>
      <w:r>
        <w:rPr>
          <w:rFonts w:eastAsia="仿宋"/>
        </w:rPr>
        <w:t>.</w:t>
      </w:r>
      <w:r>
        <w:rPr>
          <w:rFonts w:hint="eastAsia" w:eastAsia="仿宋"/>
        </w:rPr>
        <w:t>办案律师在提供法律服务过程中代委托人支付的诉讼费、仲裁费、执行费、保全费、公证费、鉴定费、评估费、查档费、翻译费、专家论证费以及异地办案差旅费等办案费用，不属于律师服务费</w:t>
      </w:r>
      <w:r>
        <w:rPr>
          <w:rFonts w:eastAsia="仿宋"/>
        </w:rPr>
        <w:t>，</w:t>
      </w:r>
      <w:r>
        <w:rPr>
          <w:rFonts w:hint="eastAsia" w:eastAsia="仿宋"/>
          <w:lang w:eastAsia="zh-Hans"/>
        </w:rPr>
        <w:t>由委托人另行承担并支付</w:t>
      </w:r>
      <w:r>
        <w:rPr>
          <w:rFonts w:eastAsia="仿宋"/>
          <w:lang w:eastAsia="zh-Hans"/>
        </w:rPr>
        <w:t>。</w:t>
      </w:r>
    </w:p>
    <w:p w14:paraId="0371F94F">
      <w:pPr>
        <w:spacing w:line="380" w:lineRule="exact"/>
        <w:ind w:firstLine="420" w:firstLineChars="200"/>
        <w:rPr>
          <w:rFonts w:eastAsia="仿宋"/>
        </w:rPr>
      </w:pPr>
      <w:r>
        <w:rPr>
          <w:rFonts w:hint="eastAsia" w:eastAsia="仿宋"/>
        </w:rPr>
        <w:t>8.本收费规则未尽事宜，按照《关于进一步规范律师服务收费的意见》（司发通〔</w:t>
      </w:r>
      <w:r>
        <w:rPr>
          <w:rFonts w:eastAsia="仿宋"/>
        </w:rPr>
        <w:t>2021</w:t>
      </w:r>
      <w:r>
        <w:rPr>
          <w:rFonts w:hint="eastAsia" w:eastAsia="仿宋"/>
        </w:rPr>
        <w:t>〕</w:t>
      </w:r>
      <w:r>
        <w:rPr>
          <w:rFonts w:eastAsia="仿宋"/>
        </w:rPr>
        <w:t>87</w:t>
      </w:r>
      <w:r>
        <w:rPr>
          <w:rFonts w:hint="eastAsia" w:eastAsia="仿宋"/>
        </w:rPr>
        <w:t>号）等有关规定执行。</w:t>
      </w:r>
    </w:p>
    <w:p w14:paraId="310E6B21">
      <w:pPr>
        <w:spacing w:line="380" w:lineRule="exact"/>
        <w:ind w:firstLine="420" w:firstLineChars="200"/>
        <w:rPr>
          <w:rFonts w:eastAsia="仿宋"/>
        </w:rPr>
      </w:pPr>
      <w:r>
        <w:rPr>
          <w:rFonts w:hint="eastAsia" w:eastAsia="仿宋"/>
        </w:rPr>
        <w:t>9</w:t>
      </w:r>
      <w:r>
        <w:rPr>
          <w:rFonts w:eastAsia="仿宋"/>
        </w:rPr>
        <w:t>.</w:t>
      </w:r>
      <w:r>
        <w:rPr>
          <w:rFonts w:hint="eastAsia" w:eastAsia="仿宋"/>
        </w:rPr>
        <w:t>本收费规则已经报</w:t>
      </w:r>
      <w:r>
        <w:rPr>
          <w:rFonts w:hint="eastAsia" w:eastAsia="仿宋"/>
          <w:lang w:eastAsia="zh-Hans"/>
        </w:rPr>
        <w:t>无锡</w:t>
      </w:r>
      <w:r>
        <w:rPr>
          <w:rFonts w:hint="eastAsia" w:eastAsia="仿宋"/>
        </w:rPr>
        <w:t>市律师协会备案，自无锡市律师协会备案之日起施行。</w:t>
      </w:r>
    </w:p>
    <w:p w14:paraId="16658059">
      <w:pPr>
        <w:spacing w:line="380" w:lineRule="exact"/>
        <w:ind w:firstLine="420" w:firstLineChars="200"/>
        <w:rPr>
          <w:rFonts w:eastAsia="仿宋"/>
        </w:rPr>
      </w:pPr>
    </w:p>
    <w:p w14:paraId="2DF4294B">
      <w:pPr>
        <w:spacing w:line="380" w:lineRule="exact"/>
        <w:ind w:firstLine="420" w:firstLineChars="200"/>
        <w:rPr>
          <w:rFonts w:eastAsia="仿宋"/>
        </w:rPr>
      </w:pPr>
      <w:r>
        <w:rPr>
          <w:rFonts w:hint="eastAsia" w:eastAsia="仿宋"/>
        </w:rPr>
        <w:t>监督投诉举报电话：</w:t>
      </w:r>
    </w:p>
    <w:p w14:paraId="25C3ABE7">
      <w:pPr>
        <w:spacing w:line="380" w:lineRule="exact"/>
        <w:ind w:firstLine="420" w:firstLineChars="200"/>
        <w:rPr>
          <w:rFonts w:eastAsia="仿宋"/>
        </w:rPr>
      </w:pPr>
    </w:p>
    <w:p w14:paraId="668E5268">
      <w:pPr>
        <w:spacing w:line="380" w:lineRule="exact"/>
        <w:ind w:right="840" w:firstLine="420" w:firstLineChars="200"/>
        <w:jc w:val="center"/>
        <w:rPr>
          <w:rFonts w:eastAsia="仿宋"/>
        </w:rPr>
      </w:pPr>
      <w:r>
        <w:rPr>
          <w:rFonts w:eastAsia="仿宋"/>
        </w:rPr>
        <w:t xml:space="preserve">                                           XXX </w:t>
      </w:r>
      <w:r>
        <w:rPr>
          <w:rFonts w:hint="eastAsia" w:eastAsia="仿宋"/>
        </w:rPr>
        <w:t>律师事务所</w:t>
      </w:r>
    </w:p>
    <w:p w14:paraId="60F83FDD">
      <w:pPr>
        <w:spacing w:line="380" w:lineRule="exact"/>
        <w:ind w:right="840" w:firstLine="420" w:firstLineChars="200"/>
        <w:jc w:val="center"/>
        <w:rPr>
          <w:rFonts w:eastAsia="仿宋"/>
        </w:rPr>
      </w:pPr>
      <w:r>
        <w:rPr>
          <w:rFonts w:hint="eastAsia" w:eastAsia="仿宋"/>
        </w:rPr>
        <w:t xml:space="preserve"> </w:t>
      </w:r>
      <w:r>
        <w:rPr>
          <w:rFonts w:eastAsia="仿宋"/>
        </w:rPr>
        <w:t xml:space="preserve">                                          2024年</w:t>
      </w:r>
      <w:r>
        <w:rPr>
          <w:rFonts w:hint="eastAsia" w:eastAsia="仿宋"/>
        </w:rPr>
        <w:t xml:space="preserve"> </w:t>
      </w:r>
      <w:r>
        <w:rPr>
          <w:rFonts w:eastAsia="仿宋"/>
        </w:rPr>
        <w:t xml:space="preserve"> 月</w:t>
      </w:r>
      <w:r>
        <w:rPr>
          <w:rFonts w:hint="eastAsia" w:eastAsia="仿宋"/>
        </w:rPr>
        <w:t xml:space="preserve"> </w:t>
      </w:r>
      <w:r>
        <w:rPr>
          <w:rFonts w:eastAsia="仿宋"/>
        </w:rPr>
        <w:t xml:space="preserve">   日</w:t>
      </w:r>
    </w:p>
    <w:p w14:paraId="04EA242F">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3831"/>
    <w:rsid w:val="19FF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Other|1"/>
    <w:basedOn w:val="1"/>
    <w:qFormat/>
    <w:uiPriority w:val="0"/>
    <w:pPr>
      <w:spacing w:line="292" w:lineRule="exact"/>
    </w:pPr>
    <w:rPr>
      <w:rFonts w:ascii="宋体" w:hAnsi="宋体" w:eastAsia="宋体" w:cs="宋体"/>
      <w:sz w:val="20"/>
      <w:szCs w:val="20"/>
      <w:lang w:val="zh-TW" w:eastAsia="zh-TW" w:bidi="zh-TW"/>
    </w:rPr>
  </w:style>
  <w:style w:type="paragraph" w:customStyle="1" w:styleId="7">
    <w:name w:val="Body text|1"/>
    <w:basedOn w:val="1"/>
    <w:qFormat/>
    <w:uiPriority w:val="0"/>
    <w:pPr>
      <w:spacing w:line="422" w:lineRule="auto"/>
      <w:ind w:firstLine="400"/>
    </w:pPr>
    <w:rPr>
      <w:rFonts w:ascii="Times New Roman" w:hAnsi="Times New Roman" w:eastAsia="宋体" w:cs="Times New Roman"/>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2025-09-18T16:50:00Z</dcterms:created>
  <dc:creator>自由人</dc:creator>
  <cp:lastModifiedBy>自由人</cp:lastModifiedBy>
  <dcterms:modified xsi:type="dcterms:W3CDTF">2025-09-18T16:50:47Z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677F8CB32148B1E6BEC7CB6857D1194B_41</vt:lpwstr>
  </property>
</Properties>
</file>